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4287B" w14:textId="77777777" w:rsidR="00E71010" w:rsidRDefault="0044273D" w:rsidP="00057E2A">
      <w:pPr>
        <w:pStyle w:val="Title"/>
        <w:widowControl/>
        <w:spacing w:before="0"/>
        <w:ind w:left="0"/>
      </w:pPr>
      <w:r w:rsidRPr="00D5393F">
        <w:rPr>
          <w:noProof/>
        </w:rPr>
        <w:drawing>
          <wp:anchor distT="0" distB="0" distL="0" distR="0" simplePos="0" relativeHeight="251657216" behindDoc="0" locked="0" layoutInCell="1" allowOverlap="1" wp14:anchorId="25C3D043" wp14:editId="3BD02957">
            <wp:simplePos x="0" y="0"/>
            <wp:positionH relativeFrom="page">
              <wp:posOffset>6022340</wp:posOffset>
            </wp:positionH>
            <wp:positionV relativeFrom="page">
              <wp:posOffset>343535</wp:posOffset>
            </wp:positionV>
            <wp:extent cx="974723" cy="981072"/>
            <wp:effectExtent l="0" t="0" r="0" b="0"/>
            <wp:wrapNone/>
            <wp:docPr id="3" name="Image 3" descr="The official seal of the University of Califor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The official seal of the University of California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4723" cy="981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Dual_Use_Research_of_Concern"/>
      <w:bookmarkEnd w:id="0"/>
      <w:r w:rsidR="00E71010" w:rsidRPr="00E71010">
        <w:t>Dual Use Research of Concern and</w:t>
      </w:r>
    </w:p>
    <w:p w14:paraId="0E19FCFA" w14:textId="563F3261" w:rsidR="006021F4" w:rsidRPr="00D5393F" w:rsidRDefault="00E71010" w:rsidP="00057E2A">
      <w:pPr>
        <w:pStyle w:val="Title"/>
        <w:widowControl/>
        <w:spacing w:before="0" w:after="240"/>
        <w:ind w:left="0"/>
      </w:pPr>
      <w:r w:rsidRPr="00E71010">
        <w:t>Pathogens with Enhanced Pandemic Potential</w:t>
      </w:r>
    </w:p>
    <w:tbl>
      <w:tblPr>
        <w:tblW w:w="0" w:type="auto"/>
        <w:tblInd w:w="11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8"/>
        <w:gridCol w:w="6711"/>
      </w:tblGrid>
      <w:tr w:rsidR="006021F4" w:rsidRPr="00D5393F" w14:paraId="757E0B78" w14:textId="77777777" w:rsidTr="00057E2A">
        <w:trPr>
          <w:trHeight w:val="575"/>
        </w:trPr>
        <w:tc>
          <w:tcPr>
            <w:tcW w:w="2938" w:type="dxa"/>
            <w:vAlign w:val="center"/>
          </w:tcPr>
          <w:p w14:paraId="3322FD3E" w14:textId="517C9CF6" w:rsidR="006021F4" w:rsidRPr="00D5393F" w:rsidRDefault="00A96F17" w:rsidP="00AA0E18">
            <w:pPr>
              <w:pStyle w:val="TableParagraph"/>
              <w:widowControl/>
              <w:ind w:right="95"/>
              <w:jc w:val="right"/>
              <w:rPr>
                <w:b/>
              </w:rPr>
            </w:pPr>
            <w:r>
              <w:rPr>
                <w:b/>
              </w:rPr>
              <w:t>Responsible</w:t>
            </w:r>
            <w:r w:rsidR="00A708E0" w:rsidRPr="00D5393F">
              <w:rPr>
                <w:b/>
              </w:rPr>
              <w:t xml:space="preserve"> </w:t>
            </w:r>
            <w:r w:rsidR="0044273D" w:rsidRPr="00D5393F">
              <w:rPr>
                <w:b/>
              </w:rPr>
              <w:t>Officer:</w:t>
            </w:r>
          </w:p>
        </w:tc>
        <w:tc>
          <w:tcPr>
            <w:tcW w:w="6711" w:type="dxa"/>
            <w:vAlign w:val="center"/>
          </w:tcPr>
          <w:p w14:paraId="6059F0F7" w14:textId="349E6E85" w:rsidR="006021F4" w:rsidRPr="00D5393F" w:rsidRDefault="0044273D" w:rsidP="00AA0E18">
            <w:pPr>
              <w:pStyle w:val="TableParagraph"/>
              <w:widowControl/>
              <w:ind w:left="107"/>
            </w:pPr>
            <w:r w:rsidRPr="00D5393F">
              <w:t xml:space="preserve">VP – Research &amp; </w:t>
            </w:r>
            <w:r w:rsidR="00B77DA7">
              <w:t>Innovation</w:t>
            </w:r>
          </w:p>
        </w:tc>
      </w:tr>
      <w:tr w:rsidR="006021F4" w:rsidRPr="00D5393F" w14:paraId="47408997" w14:textId="77777777" w:rsidTr="00057E2A">
        <w:trPr>
          <w:trHeight w:val="577"/>
        </w:trPr>
        <w:tc>
          <w:tcPr>
            <w:tcW w:w="2938" w:type="dxa"/>
            <w:vAlign w:val="center"/>
          </w:tcPr>
          <w:p w14:paraId="7F8AEF54" w14:textId="3D02C666" w:rsidR="006021F4" w:rsidRPr="00D5393F" w:rsidRDefault="00A96F17" w:rsidP="00AA0E18">
            <w:pPr>
              <w:pStyle w:val="TableParagraph"/>
              <w:widowControl/>
              <w:ind w:right="96"/>
              <w:jc w:val="right"/>
              <w:rPr>
                <w:b/>
              </w:rPr>
            </w:pPr>
            <w:r>
              <w:rPr>
                <w:b/>
              </w:rPr>
              <w:t>Responsible</w:t>
            </w:r>
            <w:r w:rsidR="00A708E0" w:rsidRPr="00D5393F">
              <w:rPr>
                <w:b/>
              </w:rPr>
              <w:t xml:space="preserve"> </w:t>
            </w:r>
            <w:r w:rsidR="0044273D" w:rsidRPr="00D5393F">
              <w:rPr>
                <w:b/>
              </w:rPr>
              <w:t>Office:</w:t>
            </w:r>
          </w:p>
        </w:tc>
        <w:tc>
          <w:tcPr>
            <w:tcW w:w="6711" w:type="dxa"/>
            <w:vAlign w:val="center"/>
          </w:tcPr>
          <w:p w14:paraId="100C69B9" w14:textId="4D78E241" w:rsidR="006021F4" w:rsidRPr="00D5393F" w:rsidRDefault="0044273D" w:rsidP="00AA0E18">
            <w:pPr>
              <w:pStyle w:val="TableParagraph"/>
              <w:widowControl/>
              <w:ind w:left="107"/>
            </w:pPr>
            <w:r w:rsidRPr="00D5393F">
              <w:t>R</w:t>
            </w:r>
            <w:r w:rsidR="00B77DA7">
              <w:t>I</w:t>
            </w:r>
            <w:r w:rsidRPr="00D5393F">
              <w:t xml:space="preserve"> – Research &amp; </w:t>
            </w:r>
            <w:r w:rsidR="00B77DA7">
              <w:t>Innovation</w:t>
            </w:r>
          </w:p>
        </w:tc>
      </w:tr>
      <w:tr w:rsidR="00A96F17" w:rsidRPr="00D5393F" w14:paraId="2622ECC4" w14:textId="77777777" w:rsidTr="00057E2A">
        <w:trPr>
          <w:trHeight w:val="575"/>
        </w:trPr>
        <w:tc>
          <w:tcPr>
            <w:tcW w:w="2938" w:type="dxa"/>
            <w:vAlign w:val="center"/>
          </w:tcPr>
          <w:p w14:paraId="4652A56E" w14:textId="318CA8B0" w:rsidR="00A96F17" w:rsidRPr="00D5393F" w:rsidRDefault="00A96F17" w:rsidP="00AA0E18">
            <w:pPr>
              <w:pStyle w:val="TableParagraph"/>
              <w:widowControl/>
              <w:ind w:right="95"/>
              <w:jc w:val="right"/>
              <w:rPr>
                <w:b/>
              </w:rPr>
            </w:pPr>
            <w:r w:rsidRPr="00D5393F">
              <w:rPr>
                <w:b/>
              </w:rPr>
              <w:t>Issuance Date:</w:t>
            </w:r>
          </w:p>
        </w:tc>
        <w:tc>
          <w:tcPr>
            <w:tcW w:w="6711" w:type="dxa"/>
            <w:vAlign w:val="center"/>
          </w:tcPr>
          <w:p w14:paraId="6BA14D64" w14:textId="7C302FF1" w:rsidR="00A96F17" w:rsidRPr="00D5393F" w:rsidRDefault="00A96F17" w:rsidP="00AA0E18">
            <w:pPr>
              <w:pStyle w:val="TableParagraph"/>
              <w:widowControl/>
              <w:ind w:left="107"/>
            </w:pPr>
            <w:r w:rsidRPr="00D5393F">
              <w:t>9/24/2015</w:t>
            </w:r>
          </w:p>
        </w:tc>
      </w:tr>
      <w:tr w:rsidR="00A96F17" w:rsidRPr="00D5393F" w14:paraId="7E727350" w14:textId="77777777" w:rsidTr="00057E2A">
        <w:trPr>
          <w:trHeight w:val="575"/>
        </w:trPr>
        <w:tc>
          <w:tcPr>
            <w:tcW w:w="2938" w:type="dxa"/>
            <w:vAlign w:val="center"/>
          </w:tcPr>
          <w:p w14:paraId="24E1E35C" w14:textId="5FAC1FBE" w:rsidR="00A96F17" w:rsidRPr="00D5393F" w:rsidRDefault="00A96F17" w:rsidP="00AA0E18">
            <w:pPr>
              <w:pStyle w:val="TableParagraph"/>
              <w:widowControl/>
              <w:ind w:right="95"/>
              <w:jc w:val="right"/>
              <w:rPr>
                <w:b/>
              </w:rPr>
            </w:pPr>
            <w:r w:rsidRPr="00D5393F">
              <w:rPr>
                <w:b/>
              </w:rPr>
              <w:t>Effective Date:</w:t>
            </w:r>
          </w:p>
        </w:tc>
        <w:tc>
          <w:tcPr>
            <w:tcW w:w="6711" w:type="dxa"/>
            <w:vAlign w:val="center"/>
          </w:tcPr>
          <w:p w14:paraId="08DC1731" w14:textId="694AAB24" w:rsidR="00A96F17" w:rsidRPr="00D5393F" w:rsidRDefault="00A96F17" w:rsidP="00AA0E18">
            <w:pPr>
              <w:pStyle w:val="TableParagraph"/>
              <w:widowControl/>
              <w:ind w:left="107"/>
            </w:pPr>
            <w:r w:rsidRPr="00D5393F">
              <w:t>9/24/2015</w:t>
            </w:r>
          </w:p>
        </w:tc>
      </w:tr>
      <w:tr w:rsidR="00A96F17" w:rsidRPr="00D5393F" w14:paraId="0F4BF61F" w14:textId="77777777" w:rsidTr="00057E2A">
        <w:trPr>
          <w:trHeight w:val="575"/>
        </w:trPr>
        <w:tc>
          <w:tcPr>
            <w:tcW w:w="2938" w:type="dxa"/>
            <w:vAlign w:val="center"/>
          </w:tcPr>
          <w:p w14:paraId="11EB4637" w14:textId="70946C3A" w:rsidR="00A96F17" w:rsidRPr="00D5393F" w:rsidRDefault="00A96F17" w:rsidP="00AA0E18">
            <w:pPr>
              <w:pStyle w:val="TableParagraph"/>
              <w:widowControl/>
              <w:ind w:right="95"/>
              <w:jc w:val="right"/>
              <w:rPr>
                <w:b/>
              </w:rPr>
            </w:pPr>
            <w:r w:rsidRPr="00D5393F">
              <w:rPr>
                <w:b/>
              </w:rPr>
              <w:t>Last Review Date:</w:t>
            </w:r>
          </w:p>
        </w:tc>
        <w:tc>
          <w:tcPr>
            <w:tcW w:w="6711" w:type="dxa"/>
            <w:vAlign w:val="center"/>
          </w:tcPr>
          <w:p w14:paraId="09F17617" w14:textId="1401B6E6" w:rsidR="00A96F17" w:rsidRPr="00D5393F" w:rsidRDefault="00A96F17" w:rsidP="00AA0E18">
            <w:pPr>
              <w:pStyle w:val="TableParagraph"/>
              <w:widowControl/>
              <w:ind w:left="107"/>
            </w:pPr>
            <w:r>
              <w:t>XX</w:t>
            </w:r>
            <w:r w:rsidRPr="00D5393F">
              <w:t>/</w:t>
            </w:r>
            <w:r>
              <w:t>XX</w:t>
            </w:r>
            <w:r w:rsidRPr="00D5393F">
              <w:t>/20</w:t>
            </w:r>
            <w:r w:rsidR="00927B68">
              <w:t>XX</w:t>
            </w:r>
          </w:p>
        </w:tc>
      </w:tr>
      <w:tr w:rsidR="00A96F17" w:rsidRPr="00D5393F" w14:paraId="4EA961CE" w14:textId="77777777" w:rsidTr="00057E2A">
        <w:trPr>
          <w:trHeight w:val="592"/>
        </w:trPr>
        <w:tc>
          <w:tcPr>
            <w:tcW w:w="2938" w:type="dxa"/>
            <w:vAlign w:val="center"/>
          </w:tcPr>
          <w:p w14:paraId="702DCBB7" w14:textId="20D25911" w:rsidR="00A96F17" w:rsidRPr="00D5393F" w:rsidRDefault="00A96F17" w:rsidP="00AA0E18">
            <w:pPr>
              <w:pStyle w:val="TableParagraph"/>
              <w:widowControl/>
              <w:ind w:right="97"/>
              <w:jc w:val="right"/>
              <w:rPr>
                <w:b/>
              </w:rPr>
            </w:pPr>
            <w:r w:rsidRPr="00D5393F">
              <w:rPr>
                <w:b/>
              </w:rPr>
              <w:t>Scope:</w:t>
            </w:r>
          </w:p>
        </w:tc>
        <w:tc>
          <w:tcPr>
            <w:tcW w:w="6711" w:type="dxa"/>
            <w:vAlign w:val="center"/>
          </w:tcPr>
          <w:p w14:paraId="27ED1E1F" w14:textId="501E6EA6" w:rsidR="00A96F17" w:rsidRPr="00D5393F" w:rsidRDefault="00A96F17" w:rsidP="00AA0E18">
            <w:pPr>
              <w:pStyle w:val="TableParagraph"/>
              <w:widowControl/>
              <w:ind w:left="107"/>
            </w:pPr>
            <w:r w:rsidRPr="00D5393F">
              <w:t xml:space="preserve">This Policy shall apply to all research conducted at </w:t>
            </w:r>
            <w:r w:rsidR="00C44822" w:rsidRPr="00F06A5D">
              <w:t>any UC</w:t>
            </w:r>
            <w:r w:rsidR="00C44822">
              <w:t xml:space="preserve"> Location (</w:t>
            </w:r>
            <w:r w:rsidR="00C44822" w:rsidRPr="00F06A5D">
              <w:t>campus or Health Center, the Lawrence Berkeley National Laboratory (LBNL), and the Division of Agriculture and Natural Resources (ANR)</w:t>
            </w:r>
            <w:r w:rsidR="00C44822">
              <w:t>)</w:t>
            </w:r>
            <w:r w:rsidRPr="00D5393F">
              <w:t xml:space="preserve"> that may involve Dual Use Research of Concern (DURC)</w:t>
            </w:r>
            <w:r>
              <w:t xml:space="preserve"> or Pathogens with Enhanced Pandemic Potential (PEPP)</w:t>
            </w:r>
            <w:r w:rsidRPr="00D5393F" w:rsidDel="009F1F32">
              <w:t>,</w:t>
            </w:r>
            <w:r w:rsidRPr="00D5393F">
              <w:t xml:space="preserve"> </w:t>
            </w:r>
            <w:r w:rsidRPr="00D5393F" w:rsidDel="009F1F32">
              <w:t>which is</w:t>
            </w:r>
            <w:r w:rsidRPr="00D5393F" w:rsidDel="008F5086">
              <w:t xml:space="preserve"> life sciences research that can be reasonably anticipated to provide knowledge, information, products, or technologies that could</w:t>
            </w:r>
            <w:r w:rsidRPr="00D5393F" w:rsidDel="00E70EF6">
              <w:t xml:space="preserve"> be </w:t>
            </w:r>
            <w:r w:rsidRPr="00D5393F" w:rsidDel="0024703B">
              <w:t>intentionally misused</w:t>
            </w:r>
            <w:r w:rsidRPr="00D5393F" w:rsidDel="008F5086">
              <w:t xml:space="preserve"> </w:t>
            </w:r>
            <w:r w:rsidRPr="00D5393F" w:rsidDel="00E70EF6">
              <w:t xml:space="preserve">to </w:t>
            </w:r>
            <w:r w:rsidRPr="00D5393F" w:rsidDel="008F5086">
              <w:t xml:space="preserve">pose a significant threat, with </w:t>
            </w:r>
            <w:r w:rsidRPr="00D5393F" w:rsidDel="00E70EF6">
              <w:t xml:space="preserve">broad </w:t>
            </w:r>
            <w:r w:rsidRPr="00D5393F" w:rsidDel="008F5086">
              <w:t>potential consequences</w:t>
            </w:r>
            <w:r w:rsidRPr="00D5393F" w:rsidDel="00E70EF6">
              <w:t>,</w:t>
            </w:r>
            <w:r w:rsidRPr="00D5393F" w:rsidDel="008F5086">
              <w:t xml:space="preserve"> to public health and safety, agricultural crops and other plants, animals, the environment, materiel, or national security.</w:t>
            </w:r>
            <w:r w:rsidR="00C44822">
              <w:t xml:space="preserve">  </w:t>
            </w:r>
          </w:p>
        </w:tc>
      </w:tr>
    </w:tbl>
    <w:p w14:paraId="2E206710" w14:textId="77777777" w:rsidR="006021F4" w:rsidRPr="00D5393F" w:rsidRDefault="006021F4" w:rsidP="00AA0E18">
      <w:pPr>
        <w:pStyle w:val="BodyText"/>
        <w:widowControl/>
        <w:spacing w:before="8"/>
        <w:rPr>
          <w:sz w:val="10"/>
        </w:rPr>
      </w:pPr>
    </w:p>
    <w:tbl>
      <w:tblPr>
        <w:tblW w:w="0" w:type="auto"/>
        <w:tblInd w:w="90" w:type="dxa"/>
        <w:tblBorders>
          <w:top w:val="single" w:sz="4" w:space="0" w:color="000000"/>
          <w:bottom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6"/>
        <w:gridCol w:w="3764"/>
        <w:gridCol w:w="4320"/>
      </w:tblGrid>
      <w:tr w:rsidR="00AB0106" w:rsidRPr="00D5393F" w14:paraId="302D814C" w14:textId="77777777" w:rsidTr="00057E2A">
        <w:trPr>
          <w:trHeight w:val="275"/>
        </w:trPr>
        <w:tc>
          <w:tcPr>
            <w:tcW w:w="1546" w:type="dxa"/>
          </w:tcPr>
          <w:p w14:paraId="2C1E91C7" w14:textId="77777777" w:rsidR="00AB0106" w:rsidRPr="00D5393F" w:rsidRDefault="00AB0106" w:rsidP="00AA0E18">
            <w:pPr>
              <w:pStyle w:val="TableParagraph"/>
              <w:widowControl/>
              <w:spacing w:line="255" w:lineRule="exact"/>
              <w:ind w:right="111"/>
              <w:jc w:val="right"/>
              <w:rPr>
                <w:b/>
              </w:rPr>
            </w:pPr>
            <w:r w:rsidRPr="00D5393F">
              <w:rPr>
                <w:b/>
              </w:rPr>
              <w:t>Contact:</w:t>
            </w:r>
          </w:p>
        </w:tc>
        <w:tc>
          <w:tcPr>
            <w:tcW w:w="3764" w:type="dxa"/>
          </w:tcPr>
          <w:p w14:paraId="0AD28661" w14:textId="28F52F8E" w:rsidR="00AB0106" w:rsidRPr="00D5393F" w:rsidDel="00690FEE" w:rsidRDefault="00653D1F" w:rsidP="00AA0E18">
            <w:pPr>
              <w:pStyle w:val="TableParagraph"/>
              <w:widowControl/>
              <w:spacing w:line="255" w:lineRule="exact"/>
              <w:ind w:left="109"/>
            </w:pPr>
            <w:r>
              <w:t>Deborah Motton</w:t>
            </w:r>
          </w:p>
        </w:tc>
        <w:tc>
          <w:tcPr>
            <w:tcW w:w="4320" w:type="dxa"/>
          </w:tcPr>
          <w:p w14:paraId="2BCB4547" w14:textId="7805574B" w:rsidR="00AB0106" w:rsidRPr="00D5393F" w:rsidRDefault="003E3713" w:rsidP="00AA0E18">
            <w:pPr>
              <w:pStyle w:val="TableParagraph"/>
              <w:widowControl/>
              <w:spacing w:line="255" w:lineRule="exact"/>
              <w:ind w:left="109"/>
            </w:pPr>
            <w:r>
              <w:t>Ken Smith</w:t>
            </w:r>
          </w:p>
        </w:tc>
      </w:tr>
      <w:tr w:rsidR="007816D0" w:rsidRPr="00D5393F" w14:paraId="7BB0DF58" w14:textId="77777777" w:rsidTr="00057E2A">
        <w:trPr>
          <w:trHeight w:val="275"/>
        </w:trPr>
        <w:tc>
          <w:tcPr>
            <w:tcW w:w="1546" w:type="dxa"/>
          </w:tcPr>
          <w:p w14:paraId="480F5CBE" w14:textId="05BAF093" w:rsidR="007816D0" w:rsidRPr="00D5393F" w:rsidRDefault="003E3713" w:rsidP="00AA0E18">
            <w:pPr>
              <w:pStyle w:val="TableParagraph"/>
              <w:widowControl/>
              <w:spacing w:line="255" w:lineRule="exact"/>
              <w:ind w:right="111"/>
              <w:jc w:val="right"/>
              <w:rPr>
                <w:b/>
              </w:rPr>
            </w:pPr>
            <w:r>
              <w:rPr>
                <w:b/>
              </w:rPr>
              <w:t>Department:</w:t>
            </w:r>
          </w:p>
        </w:tc>
        <w:tc>
          <w:tcPr>
            <w:tcW w:w="3764" w:type="dxa"/>
          </w:tcPr>
          <w:p w14:paraId="1065C1A3" w14:textId="0DBCF0BD" w:rsidR="007816D0" w:rsidRDefault="003E3713" w:rsidP="00AA0E18">
            <w:pPr>
              <w:pStyle w:val="TableParagraph"/>
              <w:widowControl/>
              <w:spacing w:line="255" w:lineRule="exact"/>
              <w:ind w:left="109"/>
            </w:pPr>
            <w:r>
              <w:t>Research &amp; Innovation</w:t>
            </w:r>
          </w:p>
        </w:tc>
        <w:tc>
          <w:tcPr>
            <w:tcW w:w="4320" w:type="dxa"/>
          </w:tcPr>
          <w:p w14:paraId="2AC2512C" w14:textId="25B8E67A" w:rsidR="007816D0" w:rsidRPr="00D5393F" w:rsidDel="00690FEE" w:rsidRDefault="003E3713" w:rsidP="00AA0E18">
            <w:pPr>
              <w:pStyle w:val="TableParagraph"/>
              <w:widowControl/>
              <w:spacing w:line="255" w:lineRule="exact"/>
              <w:ind w:left="109"/>
            </w:pPr>
            <w:r>
              <w:t>Environment</w:t>
            </w:r>
            <w:r w:rsidR="009E04FE">
              <w:t>,</w:t>
            </w:r>
            <w:r>
              <w:t xml:space="preserve"> Health &amp; Safety</w:t>
            </w:r>
          </w:p>
        </w:tc>
      </w:tr>
      <w:tr w:rsidR="00AB0106" w:rsidRPr="00D5393F" w14:paraId="3AF5D0AC" w14:textId="77777777" w:rsidTr="00057E2A">
        <w:trPr>
          <w:trHeight w:val="275"/>
        </w:trPr>
        <w:tc>
          <w:tcPr>
            <w:tcW w:w="1546" w:type="dxa"/>
          </w:tcPr>
          <w:p w14:paraId="5CC6058B" w14:textId="77777777" w:rsidR="00AB0106" w:rsidRPr="00D5393F" w:rsidRDefault="00AB0106" w:rsidP="00AA0E18">
            <w:pPr>
              <w:pStyle w:val="TableParagraph"/>
              <w:widowControl/>
              <w:spacing w:line="256" w:lineRule="exact"/>
              <w:ind w:right="109"/>
              <w:jc w:val="right"/>
              <w:rPr>
                <w:b/>
              </w:rPr>
            </w:pPr>
            <w:r w:rsidRPr="00D5393F">
              <w:rPr>
                <w:b/>
              </w:rPr>
              <w:t>Title:</w:t>
            </w:r>
          </w:p>
        </w:tc>
        <w:tc>
          <w:tcPr>
            <w:tcW w:w="3764" w:type="dxa"/>
          </w:tcPr>
          <w:p w14:paraId="278512E4" w14:textId="6AAD752E" w:rsidR="00AB0106" w:rsidRPr="00D5393F" w:rsidRDefault="00653D1F" w:rsidP="00AA0E18">
            <w:pPr>
              <w:pStyle w:val="TableParagraph"/>
              <w:widowControl/>
              <w:spacing w:line="256" w:lineRule="exact"/>
              <w:ind w:left="109"/>
            </w:pPr>
            <w:r>
              <w:t>Executive Director</w:t>
            </w:r>
          </w:p>
        </w:tc>
        <w:tc>
          <w:tcPr>
            <w:tcW w:w="4320" w:type="dxa"/>
          </w:tcPr>
          <w:p w14:paraId="33CF8388" w14:textId="5FD91EF2" w:rsidR="00AB0106" w:rsidRPr="00D5393F" w:rsidRDefault="00AB0106" w:rsidP="00AA0E18">
            <w:pPr>
              <w:pStyle w:val="TableParagraph"/>
              <w:widowControl/>
              <w:spacing w:line="256" w:lineRule="exact"/>
              <w:ind w:left="109"/>
            </w:pPr>
            <w:r w:rsidRPr="00D5393F">
              <w:t>Executive Director</w:t>
            </w:r>
          </w:p>
        </w:tc>
      </w:tr>
      <w:tr w:rsidR="00AB0106" w:rsidRPr="00D5393F" w14:paraId="01E5FA94" w14:textId="77777777" w:rsidTr="00057E2A">
        <w:trPr>
          <w:trHeight w:val="276"/>
        </w:trPr>
        <w:tc>
          <w:tcPr>
            <w:tcW w:w="1546" w:type="dxa"/>
          </w:tcPr>
          <w:p w14:paraId="03532F47" w14:textId="77777777" w:rsidR="00AB0106" w:rsidRPr="00D5393F" w:rsidRDefault="00AB0106" w:rsidP="00057E2A">
            <w:pPr>
              <w:pStyle w:val="TableParagraph"/>
              <w:widowControl/>
              <w:spacing w:line="256" w:lineRule="exact"/>
              <w:ind w:left="-2730" w:right="109"/>
              <w:jc w:val="right"/>
              <w:rPr>
                <w:b/>
              </w:rPr>
            </w:pPr>
            <w:r w:rsidRPr="00D5393F">
              <w:rPr>
                <w:b/>
              </w:rPr>
              <w:t>Email:</w:t>
            </w:r>
          </w:p>
        </w:tc>
        <w:tc>
          <w:tcPr>
            <w:tcW w:w="3764" w:type="dxa"/>
          </w:tcPr>
          <w:p w14:paraId="13F8F6CE" w14:textId="186F700B" w:rsidR="00AB0106" w:rsidRPr="00D5393F" w:rsidRDefault="00000000" w:rsidP="00AA0E18">
            <w:pPr>
              <w:pStyle w:val="TableParagraph"/>
              <w:widowControl/>
              <w:spacing w:line="256" w:lineRule="exact"/>
              <w:ind w:left="109"/>
              <w:rPr>
                <w:sz w:val="22"/>
              </w:rPr>
            </w:pPr>
            <w:hyperlink r:id="rId9" w:history="1">
              <w:r w:rsidR="00653D1F" w:rsidRPr="00252FAC">
                <w:rPr>
                  <w:rStyle w:val="Hyperlink"/>
                  <w:sz w:val="22"/>
                </w:rPr>
                <w:t>Deborah.Motton@ucop.edu</w:t>
              </w:r>
            </w:hyperlink>
          </w:p>
        </w:tc>
        <w:tc>
          <w:tcPr>
            <w:tcW w:w="4320" w:type="dxa"/>
          </w:tcPr>
          <w:p w14:paraId="294973A3" w14:textId="7FF2C9D5" w:rsidR="00860BDD" w:rsidRPr="00D5393F" w:rsidRDefault="00000000" w:rsidP="00860BDD">
            <w:pPr>
              <w:pStyle w:val="TableParagraph"/>
              <w:widowControl/>
              <w:spacing w:line="256" w:lineRule="exact"/>
              <w:ind w:left="109"/>
            </w:pPr>
            <w:hyperlink r:id="rId10" w:history="1">
              <w:r w:rsidR="00860BDD" w:rsidRPr="00252FAC">
                <w:rPr>
                  <w:rStyle w:val="Hyperlink"/>
                  <w:sz w:val="22"/>
                </w:rPr>
                <w:t>ken.smith@ucop.edu</w:t>
              </w:r>
            </w:hyperlink>
          </w:p>
        </w:tc>
      </w:tr>
      <w:tr w:rsidR="00AB0106" w:rsidRPr="00D5393F" w14:paraId="3D2010AB" w14:textId="77777777" w:rsidTr="00057E2A">
        <w:trPr>
          <w:trHeight w:val="276"/>
        </w:trPr>
        <w:tc>
          <w:tcPr>
            <w:tcW w:w="1546" w:type="dxa"/>
          </w:tcPr>
          <w:p w14:paraId="6ECAB962" w14:textId="77777777" w:rsidR="00AB0106" w:rsidRPr="00D5393F" w:rsidRDefault="00AB0106" w:rsidP="00AA0E18">
            <w:pPr>
              <w:pStyle w:val="TableParagraph"/>
              <w:widowControl/>
              <w:spacing w:line="256" w:lineRule="exact"/>
              <w:ind w:right="108"/>
              <w:jc w:val="right"/>
              <w:rPr>
                <w:b/>
              </w:rPr>
            </w:pPr>
            <w:r w:rsidRPr="00D5393F">
              <w:rPr>
                <w:b/>
              </w:rPr>
              <w:t>Phone #:</w:t>
            </w:r>
          </w:p>
        </w:tc>
        <w:tc>
          <w:tcPr>
            <w:tcW w:w="3764" w:type="dxa"/>
          </w:tcPr>
          <w:p w14:paraId="6A434C1D" w14:textId="0E26F140" w:rsidR="00AB0106" w:rsidRPr="00D5393F" w:rsidRDefault="00653D1F" w:rsidP="00AA0E18">
            <w:pPr>
              <w:pStyle w:val="TableParagraph"/>
              <w:widowControl/>
              <w:spacing w:line="256" w:lineRule="exact"/>
              <w:ind w:left="109"/>
            </w:pPr>
            <w:r>
              <w:t>(510) 597-6053</w:t>
            </w:r>
          </w:p>
        </w:tc>
        <w:tc>
          <w:tcPr>
            <w:tcW w:w="4320" w:type="dxa"/>
          </w:tcPr>
          <w:p w14:paraId="7236D897" w14:textId="5277BD90" w:rsidR="00AB0106" w:rsidRPr="00D5393F" w:rsidRDefault="009E04FE" w:rsidP="00AA0E18">
            <w:pPr>
              <w:pStyle w:val="TableParagraph"/>
              <w:widowControl/>
              <w:spacing w:line="256" w:lineRule="exact"/>
              <w:ind w:left="109"/>
            </w:pPr>
            <w:r w:rsidRPr="009E04FE">
              <w:t>(510) 882-3499</w:t>
            </w:r>
          </w:p>
        </w:tc>
      </w:tr>
    </w:tbl>
    <w:p w14:paraId="122C34AF" w14:textId="4400C866" w:rsidR="006021F4" w:rsidRPr="00D5393F" w:rsidRDefault="006021F4" w:rsidP="00AA0E18">
      <w:pPr>
        <w:pStyle w:val="BodyText"/>
        <w:widowControl/>
        <w:spacing w:before="23"/>
        <w:rPr>
          <w:sz w:val="20"/>
        </w:rPr>
      </w:pPr>
    </w:p>
    <w:p w14:paraId="44EDD8C5" w14:textId="71D7AF51" w:rsidR="006021F4" w:rsidRPr="00A97826" w:rsidRDefault="00A97826" w:rsidP="00762B78">
      <w:pPr>
        <w:pBdr>
          <w:top w:val="single" w:sz="4" w:space="1" w:color="8DB3E2"/>
          <w:bottom w:val="single" w:sz="4" w:space="1" w:color="8DB3E2"/>
        </w:pBdr>
        <w:rPr>
          <w:b/>
          <w:bCs/>
          <w:sz w:val="28"/>
          <w:szCs w:val="28"/>
        </w:rPr>
      </w:pPr>
      <w:bookmarkStart w:id="1" w:name="Table_of_Contents"/>
      <w:bookmarkEnd w:id="1"/>
      <w:r w:rsidRPr="00A97826">
        <w:rPr>
          <w:b/>
          <w:bCs/>
          <w:sz w:val="28"/>
          <w:szCs w:val="28"/>
        </w:rPr>
        <w:t>TABLE OF CONTENTS</w:t>
      </w:r>
    </w:p>
    <w:p w14:paraId="2E31AEB5" w14:textId="2B0C23DD" w:rsidR="00C07EFC" w:rsidRDefault="00C07EFC" w:rsidP="00C545B6">
      <w:pPr>
        <w:pStyle w:val="TOC1"/>
        <w:tabs>
          <w:tab w:val="right" w:leader="dot" w:pos="9870"/>
        </w:tabs>
        <w:spacing w:before="240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\o "1-1" \h \z \u </w:instrText>
      </w:r>
      <w:r>
        <w:rPr>
          <w:b w:val="0"/>
        </w:rPr>
        <w:fldChar w:fldCharType="separate"/>
      </w:r>
      <w:hyperlink w:anchor="_Toc180060753" w:history="1">
        <w:r w:rsidRPr="006C2ADD">
          <w:rPr>
            <w:rStyle w:val="Hyperlink"/>
            <w:noProof/>
          </w:rPr>
          <w:t>I.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Pr="006C2ADD">
          <w:rPr>
            <w:rStyle w:val="Hyperlink"/>
            <w:noProof/>
          </w:rPr>
          <w:t>POLICY SUMMARY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_Toc180060753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308118C" w14:textId="053F594D" w:rsidR="00C07EFC" w:rsidRDefault="00000000">
      <w:pPr>
        <w:pStyle w:val="TOC1"/>
        <w:tabs>
          <w:tab w:val="right" w:leader="dot" w:pos="987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80060754" w:history="1">
        <w:r w:rsidR="00C07EFC" w:rsidRPr="006C2ADD">
          <w:rPr>
            <w:rStyle w:val="Hyperlink"/>
            <w:noProof/>
          </w:rPr>
          <w:t>II.</w:t>
        </w:r>
        <w:r w:rsidR="00C07EFC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="00C07EFC" w:rsidRPr="006C2ADD">
          <w:rPr>
            <w:rStyle w:val="Hyperlink"/>
            <w:noProof/>
          </w:rPr>
          <w:t>DEFINITIONS</w:t>
        </w:r>
        <w:r w:rsidR="00C07EFC">
          <w:rPr>
            <w:noProof/>
            <w:webHidden/>
          </w:rPr>
          <w:tab/>
        </w:r>
        <w:r w:rsidR="00C07EFC">
          <w:rPr>
            <w:noProof/>
            <w:webHidden/>
          </w:rPr>
          <w:fldChar w:fldCharType="begin"/>
        </w:r>
        <w:r w:rsidR="00C07EFC">
          <w:rPr>
            <w:noProof/>
            <w:webHidden/>
          </w:rPr>
          <w:instrText xml:space="preserve"> PAGEREF _Toc180060754 \h </w:instrText>
        </w:r>
        <w:r w:rsidR="00C07EFC">
          <w:rPr>
            <w:noProof/>
            <w:webHidden/>
          </w:rPr>
        </w:r>
        <w:r w:rsidR="00C07EFC">
          <w:rPr>
            <w:noProof/>
            <w:webHidden/>
          </w:rPr>
          <w:fldChar w:fldCharType="separate"/>
        </w:r>
        <w:r w:rsidR="00C07EFC">
          <w:rPr>
            <w:noProof/>
            <w:webHidden/>
          </w:rPr>
          <w:t>2</w:t>
        </w:r>
        <w:r w:rsidR="00C07EFC">
          <w:rPr>
            <w:noProof/>
            <w:webHidden/>
          </w:rPr>
          <w:fldChar w:fldCharType="end"/>
        </w:r>
      </w:hyperlink>
    </w:p>
    <w:p w14:paraId="2795FFC1" w14:textId="69E2D0B0" w:rsidR="00C07EFC" w:rsidRDefault="00000000">
      <w:pPr>
        <w:pStyle w:val="TOC1"/>
        <w:tabs>
          <w:tab w:val="right" w:leader="dot" w:pos="987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80060755" w:history="1">
        <w:r w:rsidR="00C07EFC" w:rsidRPr="006C2ADD">
          <w:rPr>
            <w:rStyle w:val="Hyperlink"/>
            <w:noProof/>
          </w:rPr>
          <w:t>III.</w:t>
        </w:r>
        <w:r w:rsidR="00C07EFC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="00C07EFC" w:rsidRPr="006C2ADD">
          <w:rPr>
            <w:rStyle w:val="Hyperlink"/>
            <w:noProof/>
          </w:rPr>
          <w:t>POLICY TEXT</w:t>
        </w:r>
        <w:r w:rsidR="00C07EFC">
          <w:rPr>
            <w:noProof/>
            <w:webHidden/>
          </w:rPr>
          <w:tab/>
        </w:r>
        <w:r w:rsidR="00C07EFC">
          <w:rPr>
            <w:noProof/>
            <w:webHidden/>
          </w:rPr>
          <w:fldChar w:fldCharType="begin"/>
        </w:r>
        <w:r w:rsidR="00C07EFC">
          <w:rPr>
            <w:noProof/>
            <w:webHidden/>
          </w:rPr>
          <w:instrText xml:space="preserve"> PAGEREF _Toc180060755 \h </w:instrText>
        </w:r>
        <w:r w:rsidR="00C07EFC">
          <w:rPr>
            <w:noProof/>
            <w:webHidden/>
          </w:rPr>
        </w:r>
        <w:r w:rsidR="00C07EFC">
          <w:rPr>
            <w:noProof/>
            <w:webHidden/>
          </w:rPr>
          <w:fldChar w:fldCharType="separate"/>
        </w:r>
        <w:r w:rsidR="00C07EFC">
          <w:rPr>
            <w:noProof/>
            <w:webHidden/>
          </w:rPr>
          <w:t>2</w:t>
        </w:r>
        <w:r w:rsidR="00C07EFC">
          <w:rPr>
            <w:noProof/>
            <w:webHidden/>
          </w:rPr>
          <w:fldChar w:fldCharType="end"/>
        </w:r>
      </w:hyperlink>
    </w:p>
    <w:p w14:paraId="40814510" w14:textId="54A9E2AB" w:rsidR="00C07EFC" w:rsidRDefault="00000000">
      <w:pPr>
        <w:pStyle w:val="TOC1"/>
        <w:tabs>
          <w:tab w:val="right" w:leader="dot" w:pos="987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80060756" w:history="1">
        <w:r w:rsidR="00C07EFC" w:rsidRPr="006C2ADD">
          <w:rPr>
            <w:rStyle w:val="Hyperlink"/>
            <w:noProof/>
          </w:rPr>
          <w:t>IV.</w:t>
        </w:r>
        <w:r w:rsidR="00C07EFC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="00C07EFC" w:rsidRPr="006C2ADD">
          <w:rPr>
            <w:rStyle w:val="Hyperlink"/>
            <w:noProof/>
          </w:rPr>
          <w:t>COMPLIANCE/RESPONSIBILITIES</w:t>
        </w:r>
        <w:r w:rsidR="00C07EFC">
          <w:rPr>
            <w:noProof/>
            <w:webHidden/>
          </w:rPr>
          <w:tab/>
        </w:r>
        <w:r w:rsidR="00C07EFC">
          <w:rPr>
            <w:noProof/>
            <w:webHidden/>
          </w:rPr>
          <w:fldChar w:fldCharType="begin"/>
        </w:r>
        <w:r w:rsidR="00C07EFC">
          <w:rPr>
            <w:noProof/>
            <w:webHidden/>
          </w:rPr>
          <w:instrText xml:space="preserve"> PAGEREF _Toc180060756 \h </w:instrText>
        </w:r>
        <w:r w:rsidR="00C07EFC">
          <w:rPr>
            <w:noProof/>
            <w:webHidden/>
          </w:rPr>
        </w:r>
        <w:r w:rsidR="00C07EFC">
          <w:rPr>
            <w:noProof/>
            <w:webHidden/>
          </w:rPr>
          <w:fldChar w:fldCharType="separate"/>
        </w:r>
        <w:r w:rsidR="00C07EFC">
          <w:rPr>
            <w:noProof/>
            <w:webHidden/>
          </w:rPr>
          <w:t>3</w:t>
        </w:r>
        <w:r w:rsidR="00C07EFC">
          <w:rPr>
            <w:noProof/>
            <w:webHidden/>
          </w:rPr>
          <w:fldChar w:fldCharType="end"/>
        </w:r>
      </w:hyperlink>
    </w:p>
    <w:p w14:paraId="3A434843" w14:textId="22710DA5" w:rsidR="00C07EFC" w:rsidRDefault="00000000">
      <w:pPr>
        <w:pStyle w:val="TOC1"/>
        <w:tabs>
          <w:tab w:val="right" w:leader="dot" w:pos="987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80060757" w:history="1">
        <w:r w:rsidR="00C07EFC" w:rsidRPr="006C2ADD">
          <w:rPr>
            <w:rStyle w:val="Hyperlink"/>
            <w:noProof/>
          </w:rPr>
          <w:t>V.</w:t>
        </w:r>
        <w:r w:rsidR="00C07EFC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="00C07EFC" w:rsidRPr="006C2ADD">
          <w:rPr>
            <w:rStyle w:val="Hyperlink"/>
            <w:noProof/>
          </w:rPr>
          <w:t>PROCEDURES</w:t>
        </w:r>
        <w:r w:rsidR="00C07EFC">
          <w:rPr>
            <w:noProof/>
            <w:webHidden/>
          </w:rPr>
          <w:tab/>
        </w:r>
        <w:r w:rsidR="00C07EFC">
          <w:rPr>
            <w:noProof/>
            <w:webHidden/>
          </w:rPr>
          <w:fldChar w:fldCharType="begin"/>
        </w:r>
        <w:r w:rsidR="00C07EFC">
          <w:rPr>
            <w:noProof/>
            <w:webHidden/>
          </w:rPr>
          <w:instrText xml:space="preserve"> PAGEREF _Toc180060757 \h </w:instrText>
        </w:r>
        <w:r w:rsidR="00C07EFC">
          <w:rPr>
            <w:noProof/>
            <w:webHidden/>
          </w:rPr>
        </w:r>
        <w:r w:rsidR="00C07EFC">
          <w:rPr>
            <w:noProof/>
            <w:webHidden/>
          </w:rPr>
          <w:fldChar w:fldCharType="separate"/>
        </w:r>
        <w:r w:rsidR="00C07EFC">
          <w:rPr>
            <w:noProof/>
            <w:webHidden/>
          </w:rPr>
          <w:t>4</w:t>
        </w:r>
        <w:r w:rsidR="00C07EFC">
          <w:rPr>
            <w:noProof/>
            <w:webHidden/>
          </w:rPr>
          <w:fldChar w:fldCharType="end"/>
        </w:r>
      </w:hyperlink>
    </w:p>
    <w:p w14:paraId="4237F6D3" w14:textId="7D9B99E4" w:rsidR="00C07EFC" w:rsidRDefault="00000000">
      <w:pPr>
        <w:pStyle w:val="TOC1"/>
        <w:tabs>
          <w:tab w:val="right" w:leader="dot" w:pos="987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80060758" w:history="1">
        <w:r w:rsidR="00C07EFC" w:rsidRPr="006C2ADD">
          <w:rPr>
            <w:rStyle w:val="Hyperlink"/>
            <w:noProof/>
          </w:rPr>
          <w:t>VI.</w:t>
        </w:r>
        <w:r w:rsidR="00C07EFC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="00C07EFC" w:rsidRPr="006C2ADD">
          <w:rPr>
            <w:rStyle w:val="Hyperlink"/>
            <w:noProof/>
          </w:rPr>
          <w:t>RELATED INFORMATION</w:t>
        </w:r>
        <w:r w:rsidR="00C07EFC">
          <w:rPr>
            <w:noProof/>
            <w:webHidden/>
          </w:rPr>
          <w:tab/>
        </w:r>
        <w:r w:rsidR="00C07EFC">
          <w:rPr>
            <w:noProof/>
            <w:webHidden/>
          </w:rPr>
          <w:fldChar w:fldCharType="begin"/>
        </w:r>
        <w:r w:rsidR="00C07EFC">
          <w:rPr>
            <w:noProof/>
            <w:webHidden/>
          </w:rPr>
          <w:instrText xml:space="preserve"> PAGEREF _Toc180060758 \h </w:instrText>
        </w:r>
        <w:r w:rsidR="00C07EFC">
          <w:rPr>
            <w:noProof/>
            <w:webHidden/>
          </w:rPr>
        </w:r>
        <w:r w:rsidR="00C07EFC">
          <w:rPr>
            <w:noProof/>
            <w:webHidden/>
          </w:rPr>
          <w:fldChar w:fldCharType="separate"/>
        </w:r>
        <w:r w:rsidR="00C07EFC">
          <w:rPr>
            <w:noProof/>
            <w:webHidden/>
          </w:rPr>
          <w:t>4</w:t>
        </w:r>
        <w:r w:rsidR="00C07EFC">
          <w:rPr>
            <w:noProof/>
            <w:webHidden/>
          </w:rPr>
          <w:fldChar w:fldCharType="end"/>
        </w:r>
      </w:hyperlink>
    </w:p>
    <w:p w14:paraId="7804D73D" w14:textId="63F4021C" w:rsidR="00C07EFC" w:rsidRDefault="00000000">
      <w:pPr>
        <w:pStyle w:val="TOC1"/>
        <w:tabs>
          <w:tab w:val="right" w:leader="dot" w:pos="987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80060759" w:history="1">
        <w:r w:rsidR="00C07EFC" w:rsidRPr="006C2ADD">
          <w:rPr>
            <w:rStyle w:val="Hyperlink"/>
            <w:noProof/>
          </w:rPr>
          <w:t>VII.</w:t>
        </w:r>
        <w:r w:rsidR="00C07EFC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="00C07EFC" w:rsidRPr="006C2ADD">
          <w:rPr>
            <w:rStyle w:val="Hyperlink"/>
            <w:noProof/>
          </w:rPr>
          <w:t>FREQUENTLY ASKED QUESTIONS</w:t>
        </w:r>
        <w:r w:rsidR="00C07EFC">
          <w:rPr>
            <w:noProof/>
            <w:webHidden/>
          </w:rPr>
          <w:tab/>
        </w:r>
        <w:r w:rsidR="00C07EFC">
          <w:rPr>
            <w:noProof/>
            <w:webHidden/>
          </w:rPr>
          <w:fldChar w:fldCharType="begin"/>
        </w:r>
        <w:r w:rsidR="00C07EFC">
          <w:rPr>
            <w:noProof/>
            <w:webHidden/>
          </w:rPr>
          <w:instrText xml:space="preserve"> PAGEREF _Toc180060759 \h </w:instrText>
        </w:r>
        <w:r w:rsidR="00C07EFC">
          <w:rPr>
            <w:noProof/>
            <w:webHidden/>
          </w:rPr>
        </w:r>
        <w:r w:rsidR="00C07EFC">
          <w:rPr>
            <w:noProof/>
            <w:webHidden/>
          </w:rPr>
          <w:fldChar w:fldCharType="separate"/>
        </w:r>
        <w:r w:rsidR="00C07EFC">
          <w:rPr>
            <w:noProof/>
            <w:webHidden/>
          </w:rPr>
          <w:t>5</w:t>
        </w:r>
        <w:r w:rsidR="00C07EFC">
          <w:rPr>
            <w:noProof/>
            <w:webHidden/>
          </w:rPr>
          <w:fldChar w:fldCharType="end"/>
        </w:r>
      </w:hyperlink>
    </w:p>
    <w:p w14:paraId="6CC23026" w14:textId="30EB01F6" w:rsidR="00C07EFC" w:rsidRDefault="00000000">
      <w:pPr>
        <w:pStyle w:val="TOC1"/>
        <w:tabs>
          <w:tab w:val="left" w:pos="960"/>
          <w:tab w:val="right" w:leader="dot" w:pos="987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80060760" w:history="1">
        <w:r w:rsidR="00C07EFC" w:rsidRPr="006C2ADD">
          <w:rPr>
            <w:rStyle w:val="Hyperlink"/>
            <w:noProof/>
          </w:rPr>
          <w:t>VIII.</w:t>
        </w:r>
        <w:r w:rsidR="00C07EFC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="00C07EFC" w:rsidRPr="006C2ADD">
          <w:rPr>
            <w:rStyle w:val="Hyperlink"/>
            <w:noProof/>
          </w:rPr>
          <w:t>REVISION HISTORY</w:t>
        </w:r>
        <w:r w:rsidR="00C07EFC">
          <w:rPr>
            <w:noProof/>
            <w:webHidden/>
          </w:rPr>
          <w:tab/>
        </w:r>
        <w:r w:rsidR="00C07EFC">
          <w:rPr>
            <w:noProof/>
            <w:webHidden/>
          </w:rPr>
          <w:fldChar w:fldCharType="begin"/>
        </w:r>
        <w:r w:rsidR="00C07EFC">
          <w:rPr>
            <w:noProof/>
            <w:webHidden/>
          </w:rPr>
          <w:instrText xml:space="preserve"> PAGEREF _Toc180060760 \h </w:instrText>
        </w:r>
        <w:r w:rsidR="00C07EFC">
          <w:rPr>
            <w:noProof/>
            <w:webHidden/>
          </w:rPr>
        </w:r>
        <w:r w:rsidR="00C07EFC">
          <w:rPr>
            <w:noProof/>
            <w:webHidden/>
          </w:rPr>
          <w:fldChar w:fldCharType="separate"/>
        </w:r>
        <w:r w:rsidR="00C07EFC">
          <w:rPr>
            <w:noProof/>
            <w:webHidden/>
          </w:rPr>
          <w:t>5</w:t>
        </w:r>
        <w:r w:rsidR="00C07EFC">
          <w:rPr>
            <w:noProof/>
            <w:webHidden/>
          </w:rPr>
          <w:fldChar w:fldCharType="end"/>
        </w:r>
      </w:hyperlink>
    </w:p>
    <w:p w14:paraId="0FFE2FE1" w14:textId="70BE1EB5" w:rsidR="004B0D4C" w:rsidRPr="00D5393F" w:rsidRDefault="00C07EFC" w:rsidP="00AA0E18">
      <w:pPr>
        <w:widowControl/>
        <w:rPr>
          <w:b/>
          <w:sz w:val="20"/>
          <w:szCs w:val="24"/>
        </w:rPr>
      </w:pPr>
      <w:r>
        <w:rPr>
          <w:b/>
          <w:sz w:val="20"/>
        </w:rPr>
        <w:fldChar w:fldCharType="end"/>
      </w:r>
      <w:r w:rsidR="004B0D4C" w:rsidRPr="00D5393F">
        <w:rPr>
          <w:b/>
          <w:sz w:val="20"/>
        </w:rPr>
        <w:br w:type="page"/>
      </w:r>
    </w:p>
    <w:p w14:paraId="257F88C8" w14:textId="323B9A04" w:rsidR="006021F4" w:rsidRPr="00D5393F" w:rsidRDefault="006021F4" w:rsidP="00AA0E18">
      <w:pPr>
        <w:pStyle w:val="BodyText"/>
        <w:widowControl/>
        <w:spacing w:before="0" w:line="20" w:lineRule="exact"/>
        <w:ind w:left="191"/>
        <w:rPr>
          <w:sz w:val="2"/>
        </w:rPr>
      </w:pPr>
    </w:p>
    <w:p w14:paraId="28AF236B" w14:textId="319DEC89" w:rsidR="006021F4" w:rsidRPr="00D5393F" w:rsidRDefault="0044273D" w:rsidP="00E73DC9">
      <w:pPr>
        <w:pStyle w:val="Heading1"/>
        <w:numPr>
          <w:ilvl w:val="0"/>
          <w:numId w:val="31"/>
        </w:numPr>
        <w:tabs>
          <w:tab w:val="clear" w:pos="939"/>
        </w:tabs>
        <w:ind w:left="720"/>
      </w:pPr>
      <w:bookmarkStart w:id="2" w:name="I._Policy_Summary"/>
      <w:bookmarkStart w:id="3" w:name="_bookmark0"/>
      <w:bookmarkStart w:id="4" w:name="_Toc180060753"/>
      <w:bookmarkEnd w:id="2"/>
      <w:bookmarkEnd w:id="3"/>
      <w:r w:rsidRPr="00D5393F">
        <w:t>POLICY SUMMARY</w:t>
      </w:r>
      <w:bookmarkEnd w:id="4"/>
    </w:p>
    <w:p w14:paraId="0A586767" w14:textId="7330F787" w:rsidR="003C4EDC" w:rsidRDefault="003C4EDC" w:rsidP="00870F39">
      <w:pPr>
        <w:pStyle w:val="BodyText"/>
        <w:widowControl/>
        <w:ind w:right="302"/>
      </w:pPr>
      <w:r>
        <w:t xml:space="preserve">This Policy implements the </w:t>
      </w:r>
      <w:r w:rsidRPr="003C4EDC">
        <w:t xml:space="preserve">United States Government Policy for Oversight of Dual Use Research of Concern and </w:t>
      </w:r>
      <w:r>
        <w:t>P</w:t>
      </w:r>
      <w:r w:rsidRPr="003C4EDC">
        <w:t>athogens with Enhanced Pandemic Potential</w:t>
      </w:r>
      <w:r w:rsidR="00E06874">
        <w:t xml:space="preserve"> (“</w:t>
      </w:r>
      <w:hyperlink r:id="rId11" w:history="1">
        <w:r w:rsidR="00E06874" w:rsidRPr="00260357">
          <w:rPr>
            <w:rStyle w:val="Hyperlink"/>
          </w:rPr>
          <w:t>USG Policy</w:t>
        </w:r>
      </w:hyperlink>
      <w:r w:rsidR="00E06874">
        <w:t>”)</w:t>
      </w:r>
      <w:r>
        <w:rPr>
          <w:rStyle w:val="FootnoteReference"/>
        </w:rPr>
        <w:footnoteReference w:id="2"/>
      </w:r>
      <w:r>
        <w:t xml:space="preserve"> and its accompanying Implementation Guidance</w:t>
      </w:r>
      <w:r w:rsidR="00E06874">
        <w:t xml:space="preserve"> (“</w:t>
      </w:r>
      <w:hyperlink r:id="rId12" w:history="1">
        <w:r w:rsidR="00E06874" w:rsidRPr="00260357">
          <w:rPr>
            <w:rStyle w:val="Hyperlink"/>
          </w:rPr>
          <w:t>USG Guidance</w:t>
        </w:r>
      </w:hyperlink>
      <w:r w:rsidR="00E06874">
        <w:t>”)</w:t>
      </w:r>
      <w:r>
        <w:t>.</w:t>
      </w:r>
      <w:r>
        <w:rPr>
          <w:rStyle w:val="FootnoteReference"/>
        </w:rPr>
        <w:footnoteReference w:id="3"/>
      </w:r>
      <w:r w:rsidR="000E1842">
        <w:t xml:space="preserve"> </w:t>
      </w:r>
      <w:r w:rsidR="00EB047B">
        <w:t>The USG Policy and USG Guidance</w:t>
      </w:r>
      <w:r w:rsidR="000E1842" w:rsidRPr="000E1842">
        <w:t xml:space="preserve"> supersede</w:t>
      </w:r>
      <w:r w:rsidR="000E1842">
        <w:t xml:space="preserve"> earlier </w:t>
      </w:r>
      <w:r w:rsidR="000E1842" w:rsidRPr="000E1842">
        <w:t xml:space="preserve">United States Government Policy for </w:t>
      </w:r>
      <w:r w:rsidR="000E1842">
        <w:t>dual use research of concern and potential pandemic pathogen o</w:t>
      </w:r>
      <w:r w:rsidR="000E1842" w:rsidRPr="000E1842">
        <w:t>versight</w:t>
      </w:r>
      <w:r w:rsidR="000E1842">
        <w:t>,</w:t>
      </w:r>
      <w:r w:rsidR="000E1842" w:rsidRPr="000E1842">
        <w:t xml:space="preserve"> </w:t>
      </w:r>
      <w:r w:rsidR="000E1842">
        <w:t xml:space="preserve">i.e., the </w:t>
      </w:r>
      <w:r w:rsidR="00277426">
        <w:t xml:space="preserve">2012 </w:t>
      </w:r>
      <w:r w:rsidR="000E1842">
        <w:t>Federal DURC Policy,</w:t>
      </w:r>
      <w:r w:rsidR="000E1842">
        <w:rPr>
          <w:rStyle w:val="FootnoteReference"/>
        </w:rPr>
        <w:footnoteReference w:id="4"/>
      </w:r>
      <w:r w:rsidR="000E1842">
        <w:t xml:space="preserve"> </w:t>
      </w:r>
      <w:r w:rsidR="00277426">
        <w:t xml:space="preserve">2014 </w:t>
      </w:r>
      <w:r w:rsidR="000E1842">
        <w:t>Institutional DURC Policy,</w:t>
      </w:r>
      <w:r w:rsidR="000E1842">
        <w:rPr>
          <w:rStyle w:val="FootnoteReference"/>
        </w:rPr>
        <w:footnoteReference w:id="5"/>
      </w:r>
      <w:r w:rsidR="000E1842">
        <w:t xml:space="preserve"> and </w:t>
      </w:r>
      <w:r w:rsidR="00277426">
        <w:t xml:space="preserve">2017 </w:t>
      </w:r>
      <w:r w:rsidR="000E1842" w:rsidRPr="000E1842">
        <w:t>P3CO Framework</w:t>
      </w:r>
      <w:r w:rsidR="000E1842">
        <w:t>.</w:t>
      </w:r>
      <w:r w:rsidR="000E1842">
        <w:rPr>
          <w:rStyle w:val="FootnoteReference"/>
        </w:rPr>
        <w:footnoteReference w:id="6"/>
      </w:r>
    </w:p>
    <w:p w14:paraId="18A2D744" w14:textId="2EB348CE" w:rsidR="006021F4" w:rsidRPr="00870F39" w:rsidRDefault="006021F4" w:rsidP="00AA0E18">
      <w:pPr>
        <w:pStyle w:val="BodyText"/>
        <w:widowControl/>
        <w:spacing w:before="111"/>
      </w:pPr>
    </w:p>
    <w:p w14:paraId="3A2919A1" w14:textId="77777777" w:rsidR="006021F4" w:rsidRPr="00D5393F" w:rsidRDefault="0044273D" w:rsidP="00805A94">
      <w:pPr>
        <w:pStyle w:val="Heading1"/>
      </w:pPr>
      <w:bookmarkStart w:id="5" w:name="II._Definitions"/>
      <w:bookmarkStart w:id="6" w:name="_bookmark1"/>
      <w:bookmarkStart w:id="7" w:name="_Toc180060754"/>
      <w:bookmarkEnd w:id="5"/>
      <w:bookmarkEnd w:id="6"/>
      <w:r w:rsidRPr="00D5393F">
        <w:t>DEFINITIONS</w:t>
      </w:r>
      <w:bookmarkEnd w:id="7"/>
    </w:p>
    <w:p w14:paraId="55C90BBB" w14:textId="3DBD2E93" w:rsidR="006021F4" w:rsidRPr="00D5393F" w:rsidRDefault="006021F4" w:rsidP="00AA0E18">
      <w:pPr>
        <w:pStyle w:val="BodyText"/>
        <w:widowControl/>
        <w:spacing w:before="0" w:line="20" w:lineRule="exact"/>
        <w:ind w:left="191"/>
        <w:rPr>
          <w:sz w:val="2"/>
        </w:rPr>
      </w:pPr>
    </w:p>
    <w:p w14:paraId="05F3B6B3" w14:textId="789399FE" w:rsidR="00EA56DE" w:rsidRPr="00D5393F" w:rsidRDefault="00EA56DE" w:rsidP="00EA56DE">
      <w:pPr>
        <w:pStyle w:val="BodyText"/>
      </w:pPr>
      <w:bookmarkStart w:id="8" w:name="A._Dual_Use_Research."/>
      <w:bookmarkEnd w:id="8"/>
      <w:r>
        <w:t xml:space="preserve">UC </w:t>
      </w:r>
      <w:r w:rsidR="004928FC">
        <w:t>adopts</w:t>
      </w:r>
      <w:r w:rsidR="00935C58">
        <w:t xml:space="preserve"> the definitions</w:t>
      </w:r>
      <w:r w:rsidR="00062987">
        <w:t xml:space="preserve"> provided in the </w:t>
      </w:r>
      <w:hyperlink r:id="rId13" w:history="1">
        <w:r w:rsidR="00062987" w:rsidRPr="002976CC">
          <w:rPr>
            <w:rStyle w:val="Hyperlink"/>
            <w:bCs/>
          </w:rPr>
          <w:t>USG Policy</w:t>
        </w:r>
      </w:hyperlink>
      <w:r w:rsidR="00062987">
        <w:t>.</w:t>
      </w:r>
      <w:r w:rsidR="00E02B65">
        <w:rPr>
          <w:rStyle w:val="FootnoteReference"/>
        </w:rPr>
        <w:footnoteReference w:id="7"/>
      </w:r>
    </w:p>
    <w:p w14:paraId="27322651" w14:textId="4A728E0C" w:rsidR="006021F4" w:rsidRPr="00D5393F" w:rsidRDefault="006021F4" w:rsidP="00057E2A">
      <w:pPr>
        <w:pStyle w:val="DefinitionText"/>
      </w:pPr>
    </w:p>
    <w:p w14:paraId="219C0A40" w14:textId="77777777" w:rsidR="006021F4" w:rsidRPr="00D5393F" w:rsidRDefault="0044273D" w:rsidP="00805A94">
      <w:pPr>
        <w:pStyle w:val="Heading1"/>
      </w:pPr>
      <w:bookmarkStart w:id="9" w:name="III._Policy_Text"/>
      <w:bookmarkStart w:id="10" w:name="_bookmark3"/>
      <w:bookmarkStart w:id="11" w:name="_Toc180060755"/>
      <w:bookmarkEnd w:id="9"/>
      <w:bookmarkEnd w:id="10"/>
      <w:r w:rsidRPr="00805A94">
        <w:t>POLICY</w:t>
      </w:r>
      <w:r w:rsidRPr="00D5393F">
        <w:t xml:space="preserve"> TEXT</w:t>
      </w:r>
      <w:bookmarkEnd w:id="11"/>
    </w:p>
    <w:p w14:paraId="7A41F916" w14:textId="2CB3F178" w:rsidR="006021F4" w:rsidRPr="00D5393F" w:rsidRDefault="006021F4" w:rsidP="00AA0E18">
      <w:pPr>
        <w:pStyle w:val="BodyText"/>
        <w:widowControl/>
        <w:spacing w:before="0" w:line="20" w:lineRule="exact"/>
        <w:ind w:left="191"/>
        <w:rPr>
          <w:sz w:val="2"/>
        </w:rPr>
      </w:pPr>
    </w:p>
    <w:p w14:paraId="4FFDB7E7" w14:textId="77777777" w:rsidR="006021F4" w:rsidRPr="00D5393F" w:rsidRDefault="0044273D" w:rsidP="00057E2A">
      <w:pPr>
        <w:pStyle w:val="Heading2"/>
      </w:pPr>
      <w:bookmarkStart w:id="12" w:name="Purpose_and_Scope_of_Policy"/>
      <w:bookmarkEnd w:id="12"/>
      <w:r w:rsidRPr="00B7341E">
        <w:t>Purpose</w:t>
      </w:r>
      <w:r w:rsidRPr="00D5393F">
        <w:t xml:space="preserve"> </w:t>
      </w:r>
      <w:r w:rsidRPr="00012D19">
        <w:t>and</w:t>
      </w:r>
      <w:r w:rsidRPr="00D5393F">
        <w:t xml:space="preserve"> Scope of Policy</w:t>
      </w:r>
    </w:p>
    <w:p w14:paraId="72DC7232" w14:textId="7FF4EC0B" w:rsidR="006021F4" w:rsidRDefault="009955D3" w:rsidP="00057E2A">
      <w:pPr>
        <w:pStyle w:val="BodyText"/>
        <w:widowControl/>
        <w:spacing w:before="115"/>
        <w:ind w:right="302"/>
      </w:pPr>
      <w:bookmarkStart w:id="13" w:name="A._Purpose"/>
      <w:bookmarkEnd w:id="13"/>
      <w:r>
        <w:t>UC</w:t>
      </w:r>
      <w:r w:rsidR="00AA26B3" w:rsidRPr="00AA26B3">
        <w:t xml:space="preserve"> </w:t>
      </w:r>
      <w:r w:rsidR="007E6AB0">
        <w:t>adopts</w:t>
      </w:r>
      <w:r w:rsidR="00AA26B3" w:rsidRPr="00AA26B3">
        <w:t xml:space="preserve"> the </w:t>
      </w:r>
      <w:hyperlink r:id="rId14" w:history="1">
        <w:r w:rsidR="00AA26B3" w:rsidRPr="00260357">
          <w:rPr>
            <w:rStyle w:val="Hyperlink"/>
          </w:rPr>
          <w:t>USG Policy</w:t>
        </w:r>
      </w:hyperlink>
      <w:r w:rsidR="00AA26B3" w:rsidRPr="00AA26B3">
        <w:t xml:space="preserve"> and </w:t>
      </w:r>
      <w:r w:rsidR="00AA26B3">
        <w:t xml:space="preserve">the </w:t>
      </w:r>
      <w:hyperlink r:id="rId15" w:history="1">
        <w:r w:rsidR="00AA26B3" w:rsidRPr="00260357">
          <w:rPr>
            <w:rStyle w:val="Hyperlink"/>
          </w:rPr>
          <w:t>USG Guidance</w:t>
        </w:r>
      </w:hyperlink>
      <w:r w:rsidR="00762A18">
        <w:t xml:space="preserve"> for </w:t>
      </w:r>
      <w:r w:rsidR="000044F7">
        <w:t xml:space="preserve">the </w:t>
      </w:r>
      <w:r w:rsidR="00943D0C" w:rsidRPr="00D5393F">
        <w:t xml:space="preserve">institutional review and oversight </w:t>
      </w:r>
      <w:r w:rsidR="007B1480">
        <w:t xml:space="preserve">of </w:t>
      </w:r>
      <w:r w:rsidR="00943D0C" w:rsidRPr="00D5393F">
        <w:t xml:space="preserve">life sciences research </w:t>
      </w:r>
      <w:r w:rsidR="003D1645">
        <w:t>that is within</w:t>
      </w:r>
      <w:r w:rsidR="00943D0C" w:rsidRPr="00D5393F">
        <w:t xml:space="preserve"> </w:t>
      </w:r>
      <w:r w:rsidR="00943D0C">
        <w:t xml:space="preserve">Category 1 </w:t>
      </w:r>
      <w:r w:rsidR="00943D0C" w:rsidRPr="00D5393F">
        <w:t xml:space="preserve">and </w:t>
      </w:r>
      <w:r w:rsidR="00943D0C">
        <w:t>Category 2</w:t>
      </w:r>
      <w:r w:rsidR="0048422E">
        <w:t>, regardless of funding source</w:t>
      </w:r>
      <w:r w:rsidR="00F32119">
        <w:t>.</w:t>
      </w:r>
      <w:r w:rsidR="00943D0C">
        <w:rPr>
          <w:rStyle w:val="FootnoteReference"/>
        </w:rPr>
        <w:footnoteReference w:id="8"/>
      </w:r>
    </w:p>
    <w:p w14:paraId="6B600DE8" w14:textId="77552A23" w:rsidR="00ED3655" w:rsidRPr="00D5393F" w:rsidRDefault="00ED3655" w:rsidP="00ED3655">
      <w:pPr>
        <w:pStyle w:val="BodyText"/>
        <w:widowControl/>
        <w:spacing w:before="118"/>
      </w:pPr>
      <w:r w:rsidRPr="00D5393F">
        <w:t xml:space="preserve">This Policy is intended to comply with federal requirements for review of </w:t>
      </w:r>
      <w:r w:rsidR="00736DE4">
        <w:t>Category 1 and Category 2</w:t>
      </w:r>
      <w:r>
        <w:t xml:space="preserve"> research </w:t>
      </w:r>
      <w:r w:rsidRPr="00D5393F">
        <w:t>to:</w:t>
      </w:r>
    </w:p>
    <w:p w14:paraId="5F027BE9" w14:textId="77777777" w:rsidR="00ED3655" w:rsidRPr="00D5393F" w:rsidRDefault="00ED3655" w:rsidP="00E571E4">
      <w:pPr>
        <w:pStyle w:val="ListParagraph"/>
        <w:widowControl/>
        <w:numPr>
          <w:ilvl w:val="0"/>
          <w:numId w:val="14"/>
        </w:numPr>
        <w:spacing w:before="121"/>
        <w:ind w:left="720" w:right="444"/>
      </w:pPr>
      <w:r w:rsidRPr="00D5393F">
        <w:t>strengthen the institutional review and oversight by the University of specifically defined life sciences research,</w:t>
      </w:r>
    </w:p>
    <w:p w14:paraId="7D587295" w14:textId="0BEA9FE2" w:rsidR="00ED3655" w:rsidRPr="00D5393F" w:rsidRDefault="00ED3655" w:rsidP="00E571E4">
      <w:pPr>
        <w:pStyle w:val="ListParagraph"/>
        <w:widowControl/>
        <w:numPr>
          <w:ilvl w:val="0"/>
          <w:numId w:val="14"/>
        </w:numPr>
        <w:spacing w:before="119"/>
        <w:ind w:left="720"/>
      </w:pPr>
      <w:r w:rsidRPr="00D5393F">
        <w:t xml:space="preserve">identify potential </w:t>
      </w:r>
      <w:r w:rsidR="00E9710D">
        <w:t xml:space="preserve">Category 1 </w:t>
      </w:r>
      <w:r w:rsidR="00736DE4">
        <w:t>and</w:t>
      </w:r>
      <w:r w:rsidR="00E9710D">
        <w:t xml:space="preserve"> Category 2 research</w:t>
      </w:r>
      <w:r w:rsidRPr="00D5393F">
        <w:t>,</w:t>
      </w:r>
    </w:p>
    <w:p w14:paraId="4530AF45" w14:textId="77777777" w:rsidR="00ED3655" w:rsidRPr="00D5393F" w:rsidRDefault="00ED3655" w:rsidP="00E571E4">
      <w:pPr>
        <w:pStyle w:val="ListParagraph"/>
        <w:widowControl/>
        <w:numPr>
          <w:ilvl w:val="0"/>
          <w:numId w:val="14"/>
        </w:numPr>
        <w:spacing w:before="118"/>
        <w:ind w:left="720"/>
      </w:pPr>
      <w:r w:rsidRPr="00D5393F">
        <w:t>develop and implement risk mitigation where appropriate,</w:t>
      </w:r>
    </w:p>
    <w:p w14:paraId="77C0CEB1" w14:textId="189D9E66" w:rsidR="00ED3655" w:rsidRPr="00D5393F" w:rsidRDefault="00ED3655" w:rsidP="00E571E4">
      <w:pPr>
        <w:pStyle w:val="ListParagraph"/>
        <w:widowControl/>
        <w:numPr>
          <w:ilvl w:val="0"/>
          <w:numId w:val="14"/>
        </w:numPr>
        <w:spacing w:before="117"/>
        <w:ind w:left="720" w:right="1186"/>
      </w:pPr>
      <w:r w:rsidRPr="00D5393F">
        <w:t xml:space="preserve">set forth instructions for individuals and committees at the University of California who are responsible for the implementation of the University’s requirements with respect to </w:t>
      </w:r>
      <w:r w:rsidR="00E9710D">
        <w:t>Category 1 and Category 2 research</w:t>
      </w:r>
      <w:r w:rsidRPr="00D5393F">
        <w:t>, and</w:t>
      </w:r>
    </w:p>
    <w:p w14:paraId="3AC65A55" w14:textId="77777777" w:rsidR="00ED3655" w:rsidRPr="00D5393F" w:rsidRDefault="00ED3655" w:rsidP="00E571E4">
      <w:pPr>
        <w:pStyle w:val="ListParagraph"/>
        <w:widowControl/>
        <w:numPr>
          <w:ilvl w:val="0"/>
          <w:numId w:val="14"/>
        </w:numPr>
        <w:spacing w:before="118"/>
        <w:ind w:left="720" w:right="347"/>
      </w:pPr>
      <w:r w:rsidRPr="00D5393F">
        <w:t xml:space="preserve">preserve the benefits of dual use life sciences research while minimizing the risk that the output of such research would be intentionally used for harmful </w:t>
      </w:r>
      <w:bookmarkStart w:id="14" w:name="B._Scope"/>
      <w:bookmarkEnd w:id="14"/>
      <w:r w:rsidRPr="00D5393F">
        <w:t>purposes.</w:t>
      </w:r>
    </w:p>
    <w:p w14:paraId="483D6E1E" w14:textId="77777777" w:rsidR="00ED3655" w:rsidRPr="00D5393F" w:rsidRDefault="00ED3655" w:rsidP="00057E2A">
      <w:pPr>
        <w:pStyle w:val="BodyText"/>
        <w:widowControl/>
        <w:spacing w:before="115"/>
        <w:ind w:right="302"/>
      </w:pPr>
    </w:p>
    <w:p w14:paraId="79A87F29" w14:textId="6350FDE0" w:rsidR="00AA0E18" w:rsidRPr="00D5393F" w:rsidRDefault="00AA0E18" w:rsidP="00057E2A">
      <w:pPr>
        <w:pStyle w:val="BodyText"/>
      </w:pPr>
      <w:bookmarkStart w:id="15" w:name="C._Limitations"/>
      <w:bookmarkStart w:id="16" w:name="Investigator_Responsibilities"/>
      <w:bookmarkEnd w:id="15"/>
      <w:bookmarkEnd w:id="16"/>
    </w:p>
    <w:p w14:paraId="4663357D" w14:textId="5D5AC11F" w:rsidR="006E336A" w:rsidRPr="00D5393F" w:rsidRDefault="00DB5BA2" w:rsidP="006E336A">
      <w:pPr>
        <w:pStyle w:val="Heading2"/>
      </w:pPr>
      <w:r w:rsidRPr="00DB5BA2">
        <w:lastRenderedPageBreak/>
        <w:t xml:space="preserve">Category 1 and Category 2 </w:t>
      </w:r>
      <w:r>
        <w:t>R</w:t>
      </w:r>
      <w:r w:rsidR="00177E3C">
        <w:t>esearch Oversight</w:t>
      </w:r>
    </w:p>
    <w:p w14:paraId="391D5570" w14:textId="44B459DF" w:rsidR="00DC25E8" w:rsidRDefault="0011043D" w:rsidP="00996006">
      <w:pPr>
        <w:pStyle w:val="BodyText"/>
        <w:widowControl/>
        <w:ind w:right="302"/>
      </w:pPr>
      <w:r>
        <w:t xml:space="preserve">UC adopts the oversight </w:t>
      </w:r>
      <w:r w:rsidR="00467F24">
        <w:t xml:space="preserve">framework for </w:t>
      </w:r>
      <w:r w:rsidR="00A01A2F">
        <w:t xml:space="preserve">Category 1 </w:t>
      </w:r>
      <w:r w:rsidR="0029091A">
        <w:t xml:space="preserve">and </w:t>
      </w:r>
      <w:r w:rsidR="00A01A2F">
        <w:t xml:space="preserve">Category 2 </w:t>
      </w:r>
      <w:r w:rsidR="00C01A5A">
        <w:t>r</w:t>
      </w:r>
      <w:r w:rsidR="0029091A">
        <w:t>esearc</w:t>
      </w:r>
      <w:r w:rsidR="008C4F99">
        <w:t>h</w:t>
      </w:r>
      <w:r w:rsidR="00FE73C7">
        <w:t xml:space="preserve"> provided in the </w:t>
      </w:r>
      <w:hyperlink r:id="rId16" w:history="1">
        <w:r w:rsidR="00FE73C7" w:rsidRPr="00260357">
          <w:rPr>
            <w:rStyle w:val="Hyperlink"/>
          </w:rPr>
          <w:t>USG Policy</w:t>
        </w:r>
      </w:hyperlink>
      <w:r w:rsidR="0029091A">
        <w:t>.</w:t>
      </w:r>
      <w:r w:rsidR="004B5559">
        <w:rPr>
          <w:rStyle w:val="FootnoteReference"/>
        </w:rPr>
        <w:footnoteReference w:id="9"/>
      </w:r>
      <w:r w:rsidR="00996006">
        <w:t xml:space="preserve"> </w:t>
      </w:r>
      <w:r w:rsidR="00DC25E8" w:rsidRPr="00D5393F">
        <w:t xml:space="preserve">Guidance on </w:t>
      </w:r>
      <w:r w:rsidR="003579EC">
        <w:t xml:space="preserve">the oversight framework </w:t>
      </w:r>
      <w:r w:rsidR="00DC25E8" w:rsidRPr="00D5393F">
        <w:t xml:space="preserve">can be found in </w:t>
      </w:r>
      <w:r w:rsidR="00DC25E8">
        <w:t xml:space="preserve">the </w:t>
      </w:r>
      <w:hyperlink r:id="rId17" w:history="1">
        <w:r w:rsidR="00DC25E8" w:rsidRPr="00DC25E8">
          <w:rPr>
            <w:rStyle w:val="Hyperlink"/>
          </w:rPr>
          <w:t>USG Guidance</w:t>
        </w:r>
      </w:hyperlink>
      <w:r w:rsidR="00DC25E8" w:rsidRPr="00D5393F">
        <w:t>.</w:t>
      </w:r>
    </w:p>
    <w:p w14:paraId="209E728F" w14:textId="218AC912" w:rsidR="00320596" w:rsidRDefault="00026E95" w:rsidP="00320596">
      <w:pPr>
        <w:pStyle w:val="Heading2"/>
      </w:pPr>
      <w:r>
        <w:t>Non-federally Funded Research</w:t>
      </w:r>
    </w:p>
    <w:p w14:paraId="379A545C" w14:textId="4A5F8D5E" w:rsidR="00E1110E" w:rsidRDefault="00320596" w:rsidP="00057E2A">
      <w:pPr>
        <w:pStyle w:val="BodyText"/>
      </w:pPr>
      <w:r w:rsidRPr="00320596">
        <w:t xml:space="preserve">For research that is not federally funded, </w:t>
      </w:r>
      <w:r w:rsidR="00E1110E" w:rsidRPr="00E1110E">
        <w:t>oversight should include a process managed by an I</w:t>
      </w:r>
      <w:r w:rsidR="006146F6">
        <w:t>nstit</w:t>
      </w:r>
      <w:r w:rsidR="0060711C">
        <w:t xml:space="preserve">utional </w:t>
      </w:r>
      <w:r w:rsidR="00E1110E" w:rsidRPr="00E1110E">
        <w:t>R</w:t>
      </w:r>
      <w:r w:rsidR="0060711C">
        <w:t xml:space="preserve">eview </w:t>
      </w:r>
      <w:r w:rsidR="00E1110E" w:rsidRPr="00E1110E">
        <w:t>E</w:t>
      </w:r>
      <w:r w:rsidR="0060711C">
        <w:t>ntity (IRE)</w:t>
      </w:r>
      <w:r w:rsidR="00E1110E" w:rsidRPr="00E1110E">
        <w:t xml:space="preserve"> to:</w:t>
      </w:r>
    </w:p>
    <w:p w14:paraId="4F9C83AC" w14:textId="77777777" w:rsidR="00E1110E" w:rsidRDefault="00E1110E" w:rsidP="00E1110E">
      <w:pPr>
        <w:pStyle w:val="BodyText"/>
        <w:numPr>
          <w:ilvl w:val="0"/>
          <w:numId w:val="27"/>
        </w:numPr>
      </w:pPr>
      <w:r w:rsidRPr="00E1110E">
        <w:t>identify Category 1 and Category 2 research;</w:t>
      </w:r>
    </w:p>
    <w:p w14:paraId="00EABBEF" w14:textId="77777777" w:rsidR="00E1110E" w:rsidRDefault="00E1110E" w:rsidP="00E1110E">
      <w:pPr>
        <w:pStyle w:val="BodyText"/>
        <w:numPr>
          <w:ilvl w:val="0"/>
          <w:numId w:val="27"/>
        </w:numPr>
      </w:pPr>
      <w:r w:rsidRPr="00E1110E">
        <w:t>conduct risk-benefit assessments before proceeding with Category 1 and Category 2 research; and</w:t>
      </w:r>
    </w:p>
    <w:p w14:paraId="39D78B3F" w14:textId="6C250DFF" w:rsidR="00320596" w:rsidRPr="00D5393F" w:rsidRDefault="00E1110E" w:rsidP="00057E2A">
      <w:pPr>
        <w:pStyle w:val="BodyText"/>
        <w:numPr>
          <w:ilvl w:val="0"/>
          <w:numId w:val="27"/>
        </w:numPr>
      </w:pPr>
      <w:r w:rsidRPr="00E1110E">
        <w:t xml:space="preserve">implement a risk mitigation plan for Category 1 and Category 2 research, consistent with the principles described in </w:t>
      </w:r>
      <w:r>
        <w:t xml:space="preserve">the </w:t>
      </w:r>
      <w:hyperlink r:id="rId18" w:history="1">
        <w:r w:rsidRPr="00260357">
          <w:rPr>
            <w:rStyle w:val="Hyperlink"/>
          </w:rPr>
          <w:t>USG Policy</w:t>
        </w:r>
      </w:hyperlink>
      <w:r w:rsidRPr="00E1110E">
        <w:t xml:space="preserve"> and </w:t>
      </w:r>
      <w:hyperlink r:id="rId19" w:history="1">
        <w:r w:rsidRPr="00260357">
          <w:rPr>
            <w:rStyle w:val="Hyperlink"/>
          </w:rPr>
          <w:t>USG Guidance</w:t>
        </w:r>
      </w:hyperlink>
      <w:r w:rsidRPr="00E1110E">
        <w:t>.</w:t>
      </w:r>
      <w:r w:rsidR="00FA2157">
        <w:rPr>
          <w:rStyle w:val="FootnoteReference"/>
        </w:rPr>
        <w:footnoteReference w:id="10"/>
      </w:r>
    </w:p>
    <w:p w14:paraId="45452EE1" w14:textId="77777777" w:rsidR="002E01A9" w:rsidRPr="00870F39" w:rsidRDefault="002E01A9" w:rsidP="002E01A9">
      <w:pPr>
        <w:pStyle w:val="BodyText"/>
        <w:widowControl/>
        <w:spacing w:before="110"/>
      </w:pPr>
    </w:p>
    <w:p w14:paraId="6E4C3780" w14:textId="77777777" w:rsidR="006021F4" w:rsidRPr="00D5393F" w:rsidRDefault="0044273D" w:rsidP="00805A94">
      <w:pPr>
        <w:pStyle w:val="Heading1"/>
      </w:pPr>
      <w:bookmarkStart w:id="17" w:name="_Toc180060756"/>
      <w:r w:rsidRPr="00D5393F">
        <w:t>COMPLIANCE/RESPONSIBILITIES</w:t>
      </w:r>
      <w:bookmarkEnd w:id="17"/>
    </w:p>
    <w:p w14:paraId="7CFA0C41" w14:textId="7D11F146" w:rsidR="006021F4" w:rsidRPr="00D5393F" w:rsidRDefault="006021F4" w:rsidP="00AA0E18">
      <w:pPr>
        <w:pStyle w:val="BodyText"/>
        <w:widowControl/>
        <w:spacing w:before="0" w:line="20" w:lineRule="exact"/>
        <w:ind w:left="191"/>
        <w:rPr>
          <w:sz w:val="2"/>
        </w:rPr>
      </w:pPr>
    </w:p>
    <w:p w14:paraId="7FCD50AF" w14:textId="4D746997" w:rsidR="00192EA7" w:rsidRDefault="00C6146B" w:rsidP="009C7128">
      <w:pPr>
        <w:pStyle w:val="Heading2"/>
        <w:numPr>
          <w:ilvl w:val="0"/>
          <w:numId w:val="28"/>
        </w:numPr>
        <w:ind w:left="720" w:hanging="720"/>
      </w:pPr>
      <w:bookmarkStart w:id="18" w:name="V._Procedures"/>
      <w:bookmarkStart w:id="19" w:name="_bookmark7"/>
      <w:bookmarkEnd w:id="18"/>
      <w:bookmarkEnd w:id="19"/>
      <w:r>
        <w:t>Responsibilities</w:t>
      </w:r>
    </w:p>
    <w:p w14:paraId="54A11A1E" w14:textId="0409A7FB" w:rsidR="007202FB" w:rsidRDefault="00ED3655" w:rsidP="00324BA3">
      <w:pPr>
        <w:pStyle w:val="BodyText"/>
      </w:pPr>
      <w:r w:rsidRPr="0008782C">
        <w:rPr>
          <w:b/>
          <w:bCs/>
        </w:rPr>
        <w:t>C</w:t>
      </w:r>
      <w:r w:rsidR="007202FB" w:rsidRPr="0008782C">
        <w:rPr>
          <w:b/>
          <w:bCs/>
        </w:rPr>
        <w:t>ampus Vice Chancellor</w:t>
      </w:r>
      <w:r>
        <w:rPr>
          <w:b/>
          <w:bCs/>
        </w:rPr>
        <w:t>s</w:t>
      </w:r>
      <w:r w:rsidR="007202FB" w:rsidRPr="0008782C">
        <w:rPr>
          <w:b/>
          <w:bCs/>
        </w:rPr>
        <w:t xml:space="preserve"> for Research</w:t>
      </w:r>
      <w:r w:rsidR="00B31C19">
        <w:rPr>
          <w:b/>
          <w:bCs/>
        </w:rPr>
        <w:t xml:space="preserve"> </w:t>
      </w:r>
      <w:r w:rsidR="00DA4081">
        <w:rPr>
          <w:b/>
          <w:bCs/>
        </w:rPr>
        <w:t>(</w:t>
      </w:r>
      <w:r w:rsidR="00B31C19">
        <w:rPr>
          <w:b/>
          <w:bCs/>
        </w:rPr>
        <w:t>or</w:t>
      </w:r>
      <w:r w:rsidR="00D05C9F">
        <w:rPr>
          <w:b/>
          <w:bCs/>
        </w:rPr>
        <w:t xml:space="preserve"> equivalent </w:t>
      </w:r>
      <w:r w:rsidR="00DA4081">
        <w:rPr>
          <w:b/>
          <w:bCs/>
        </w:rPr>
        <w:t xml:space="preserve">administrator </w:t>
      </w:r>
      <w:r w:rsidR="00D05C9F">
        <w:rPr>
          <w:b/>
          <w:bCs/>
        </w:rPr>
        <w:t>at LBNL and ANR</w:t>
      </w:r>
      <w:r w:rsidR="00DA4081">
        <w:rPr>
          <w:b/>
          <w:bCs/>
        </w:rPr>
        <w:t>)</w:t>
      </w:r>
      <w:r w:rsidR="007202FB" w:rsidRPr="007202FB">
        <w:t xml:space="preserve"> </w:t>
      </w:r>
      <w:r>
        <w:t>are</w:t>
      </w:r>
      <w:r w:rsidR="00F33E36">
        <w:t xml:space="preserve"> </w:t>
      </w:r>
      <w:r w:rsidR="00F33E36" w:rsidRPr="007202FB">
        <w:t>responsible</w:t>
      </w:r>
      <w:r w:rsidR="007202FB" w:rsidRPr="007202FB">
        <w:t xml:space="preserve"> for ensuring compliance with this Policy</w:t>
      </w:r>
      <w:r w:rsidR="00B813BC">
        <w:t>, unless</w:t>
      </w:r>
      <w:r w:rsidR="00466F5A">
        <w:t xml:space="preserve"> the Chancellor designates</w:t>
      </w:r>
      <w:r w:rsidR="00F25627">
        <w:t xml:space="preserve"> the responsibility to</w:t>
      </w:r>
      <w:r w:rsidR="00466F5A">
        <w:t xml:space="preserve"> another institutional officer</w:t>
      </w:r>
      <w:r w:rsidR="007202FB" w:rsidRPr="007202FB">
        <w:t>.</w:t>
      </w:r>
      <w:r w:rsidR="004901FB">
        <w:t xml:space="preserve"> </w:t>
      </w:r>
      <w:r w:rsidR="0071343B">
        <w:t>The</w:t>
      </w:r>
      <w:r w:rsidR="0071343B" w:rsidRPr="0071343B">
        <w:t xml:space="preserve"> </w:t>
      </w:r>
      <w:r w:rsidR="0071343B">
        <w:t xml:space="preserve">VCR </w:t>
      </w:r>
      <w:r w:rsidR="0071343B" w:rsidRPr="0071343B">
        <w:t>shall establish the local IRE in compliance with this Policy</w:t>
      </w:r>
      <w:r w:rsidR="00ED364E">
        <w:t xml:space="preserve"> and </w:t>
      </w:r>
      <w:r w:rsidR="00ED364E" w:rsidRPr="00ED364E">
        <w:t>designate an individual to serve as the I</w:t>
      </w:r>
      <w:r w:rsidR="00FE6D14">
        <w:t xml:space="preserve">nstitutional </w:t>
      </w:r>
      <w:r w:rsidR="00ED364E" w:rsidRPr="00ED364E">
        <w:t>C</w:t>
      </w:r>
      <w:r w:rsidR="00FE6D14">
        <w:t xml:space="preserve">ontact for </w:t>
      </w:r>
      <w:r w:rsidR="00ED364E" w:rsidRPr="00ED364E">
        <w:t>D</w:t>
      </w:r>
      <w:r w:rsidR="00FE6D14">
        <w:t xml:space="preserve">ual </w:t>
      </w:r>
      <w:r w:rsidR="00ED364E" w:rsidRPr="00ED364E">
        <w:t>U</w:t>
      </w:r>
      <w:r w:rsidR="00FE6D14">
        <w:t xml:space="preserve">se </w:t>
      </w:r>
      <w:r w:rsidR="00ED364E" w:rsidRPr="00ED364E">
        <w:t>R</w:t>
      </w:r>
      <w:r w:rsidR="00FE6D14">
        <w:t>esearch (ICDUR)</w:t>
      </w:r>
      <w:r w:rsidR="00ED364E">
        <w:t>.</w:t>
      </w:r>
    </w:p>
    <w:p w14:paraId="71C83799" w14:textId="5DD45730" w:rsidR="00ED3655" w:rsidRPr="0029091A" w:rsidRDefault="00ED3655" w:rsidP="00ED3655">
      <w:pPr>
        <w:widowControl/>
        <w:tabs>
          <w:tab w:val="left" w:pos="580"/>
        </w:tabs>
        <w:spacing w:before="118"/>
        <w:ind w:right="743"/>
      </w:pPr>
      <w:r w:rsidRPr="0008782C">
        <w:rPr>
          <w:b/>
          <w:bCs/>
        </w:rPr>
        <w:t xml:space="preserve">Principal Investigators </w:t>
      </w:r>
      <w:r>
        <w:t>of research projects should:</w:t>
      </w:r>
    </w:p>
    <w:p w14:paraId="4CAC2800" w14:textId="4002D6C8" w:rsidR="00ED3655" w:rsidRDefault="00ED3655" w:rsidP="00ED3655">
      <w:pPr>
        <w:pStyle w:val="ListParagraph"/>
        <w:widowControl/>
        <w:numPr>
          <w:ilvl w:val="0"/>
          <w:numId w:val="5"/>
        </w:numPr>
        <w:tabs>
          <w:tab w:val="left" w:pos="580"/>
        </w:tabs>
        <w:spacing w:before="118"/>
        <w:ind w:right="743"/>
      </w:pPr>
      <w:r>
        <w:t>B</w:t>
      </w:r>
      <w:r w:rsidRPr="00C20548">
        <w:t xml:space="preserve">e knowledgeable about and comply with or follow all applicable institutional and U.S. government policies, requirements, and regulations for oversight of </w:t>
      </w:r>
      <w:r w:rsidR="00432154">
        <w:t xml:space="preserve">use, movement, and modifications of </w:t>
      </w:r>
      <w:r w:rsidRPr="00C20548">
        <w:t>biological agent</w:t>
      </w:r>
      <w:r w:rsidR="00AC37AE">
        <w:t>s and toxins that may fall under Category 1 or Category 2 research</w:t>
      </w:r>
      <w:r>
        <w:t xml:space="preserve">. </w:t>
      </w:r>
    </w:p>
    <w:p w14:paraId="06D94C5D" w14:textId="3BAA74A2" w:rsidR="00ED3655" w:rsidRDefault="00ED3655" w:rsidP="00ED3655">
      <w:pPr>
        <w:pStyle w:val="ListParagraph"/>
        <w:widowControl/>
        <w:numPr>
          <w:ilvl w:val="0"/>
          <w:numId w:val="5"/>
        </w:numPr>
        <w:tabs>
          <w:tab w:val="left" w:pos="580"/>
        </w:tabs>
        <w:spacing w:before="118"/>
        <w:ind w:right="743"/>
      </w:pPr>
      <w:r w:rsidRPr="00300F24">
        <w:t xml:space="preserve">Assess </w:t>
      </w:r>
      <w:r>
        <w:t xml:space="preserve">the </w:t>
      </w:r>
      <w:r w:rsidRPr="00300F24">
        <w:t xml:space="preserve">research at the proposal stage, and continuously throughout the research lifecycle, to identify whether </w:t>
      </w:r>
      <w:r w:rsidR="00E9710D">
        <w:t>it is</w:t>
      </w:r>
      <w:r w:rsidRPr="00300F24">
        <w:t xml:space="preserve"> reasonably anticipated to be within </w:t>
      </w:r>
      <w:r w:rsidR="00E9710D">
        <w:t xml:space="preserve">the </w:t>
      </w:r>
      <w:r w:rsidRPr="00300F24">
        <w:t xml:space="preserve">scope of </w:t>
      </w:r>
      <w:r w:rsidR="00E9710D">
        <w:t>Category 1 or Category 2 r</w:t>
      </w:r>
      <w:r>
        <w:t>esearch.</w:t>
      </w:r>
    </w:p>
    <w:p w14:paraId="000D79CF" w14:textId="15493ABA" w:rsidR="00ED3655" w:rsidRDefault="00ED3655" w:rsidP="00ED3655">
      <w:pPr>
        <w:pStyle w:val="ListParagraph"/>
        <w:widowControl/>
        <w:numPr>
          <w:ilvl w:val="0"/>
          <w:numId w:val="5"/>
        </w:numPr>
        <w:tabs>
          <w:tab w:val="left" w:pos="580"/>
        </w:tabs>
        <w:spacing w:before="118"/>
        <w:ind w:right="743"/>
      </w:pPr>
      <w:r>
        <w:t xml:space="preserve">Comply with any local campus procedures implementing this </w:t>
      </w:r>
      <w:r w:rsidR="005D4B12">
        <w:t>P</w:t>
      </w:r>
      <w:r>
        <w:t>olicy and any extramural contract and grant terms and conditions supporting their research.</w:t>
      </w:r>
    </w:p>
    <w:p w14:paraId="56D84164" w14:textId="0C8A4913" w:rsidR="00C6146B" w:rsidRDefault="007D3184" w:rsidP="00C6146B">
      <w:pPr>
        <w:pStyle w:val="Heading2"/>
      </w:pPr>
      <w:r>
        <w:t>Nonc</w:t>
      </w:r>
      <w:r w:rsidR="00C6146B">
        <w:t>ompliance</w:t>
      </w:r>
    </w:p>
    <w:p w14:paraId="79833B86" w14:textId="222DDDCA" w:rsidR="00324BA3" w:rsidRDefault="00324BA3" w:rsidP="00324BA3">
      <w:pPr>
        <w:pStyle w:val="BodyText"/>
      </w:pPr>
      <w:r>
        <w:t xml:space="preserve">Noncompliance with this </w:t>
      </w:r>
      <w:r w:rsidR="00371254">
        <w:t>P</w:t>
      </w:r>
      <w:r>
        <w:t xml:space="preserve">olicy may result in remediation, educational efforts, and/or employment consequences up to and including informal counseling, adverse performance evaluations, </w:t>
      </w:r>
      <w:r w:rsidR="007C00AC">
        <w:t xml:space="preserve">and </w:t>
      </w:r>
      <w:r>
        <w:t>corrective action/discipline</w:t>
      </w:r>
      <w:r w:rsidR="0073343D">
        <w:t>.</w:t>
      </w:r>
    </w:p>
    <w:p w14:paraId="753830A9" w14:textId="77777777" w:rsidR="00DF5FD1" w:rsidRDefault="002B5423" w:rsidP="002B5423">
      <w:pPr>
        <w:pStyle w:val="BodyText"/>
      </w:pPr>
      <w:r>
        <w:t>For academic appointees, formal corrective action/discipline is governed by</w:t>
      </w:r>
      <w:r w:rsidR="00DF5FD1">
        <w:t>:</w:t>
      </w:r>
    </w:p>
    <w:p w14:paraId="219FE5DE" w14:textId="4419BDC7" w:rsidR="00DF5FD1" w:rsidRDefault="00000000" w:rsidP="00DF5FD1">
      <w:pPr>
        <w:pStyle w:val="BodyText"/>
        <w:numPr>
          <w:ilvl w:val="0"/>
          <w:numId w:val="29"/>
        </w:numPr>
      </w:pPr>
      <w:hyperlink r:id="rId20" w:history="1">
        <w:r w:rsidR="002B5423" w:rsidRPr="00FF7239">
          <w:rPr>
            <w:rStyle w:val="Hyperlink"/>
          </w:rPr>
          <w:t>The Faculty Code of Conduct</w:t>
        </w:r>
      </w:hyperlink>
      <w:r w:rsidR="00F61BF4">
        <w:t xml:space="preserve"> (APM-015)</w:t>
      </w:r>
      <w:r w:rsidR="00DF5FD1">
        <w:t>,</w:t>
      </w:r>
    </w:p>
    <w:p w14:paraId="372F57EB" w14:textId="2A92494C" w:rsidR="00DF5FD1" w:rsidRDefault="00000000" w:rsidP="00DF5FD1">
      <w:pPr>
        <w:pStyle w:val="BodyText"/>
        <w:numPr>
          <w:ilvl w:val="0"/>
          <w:numId w:val="29"/>
        </w:numPr>
      </w:pPr>
      <w:hyperlink r:id="rId21" w:history="1">
        <w:r w:rsidR="002B5423" w:rsidRPr="00FF7239">
          <w:rPr>
            <w:rStyle w:val="Hyperlink"/>
          </w:rPr>
          <w:t>University Policy on Faculty Conduct and the Administration of Discipline</w:t>
        </w:r>
      </w:hyperlink>
      <w:r w:rsidR="00F61BF4" w:rsidRPr="00F61BF4">
        <w:t xml:space="preserve"> </w:t>
      </w:r>
      <w:r w:rsidR="00F61BF4">
        <w:t>(APM-016</w:t>
      </w:r>
      <w:r w:rsidR="002B5423">
        <w:t>)</w:t>
      </w:r>
      <w:r w:rsidR="00DF5FD1">
        <w:t>,</w:t>
      </w:r>
    </w:p>
    <w:p w14:paraId="362D9481" w14:textId="77777777" w:rsidR="00DF5FD1" w:rsidRDefault="00000000" w:rsidP="00DF5FD1">
      <w:pPr>
        <w:pStyle w:val="BodyText"/>
        <w:numPr>
          <w:ilvl w:val="0"/>
          <w:numId w:val="29"/>
        </w:numPr>
      </w:pPr>
      <w:hyperlink r:id="rId22" w:history="1">
        <w:r w:rsidR="00481277" w:rsidRPr="00356059">
          <w:rPr>
            <w:rStyle w:val="Hyperlink"/>
          </w:rPr>
          <w:t>Non-Senate Academic Appointees/Corrective Action and Dismissal</w:t>
        </w:r>
      </w:hyperlink>
      <w:r w:rsidR="00481277">
        <w:t xml:space="preserve"> (</w:t>
      </w:r>
      <w:r w:rsidR="002B5423">
        <w:t>APM-150</w:t>
      </w:r>
      <w:r w:rsidR="00481277">
        <w:t>)</w:t>
      </w:r>
      <w:r w:rsidR="002B5423">
        <w:t>, and</w:t>
      </w:r>
    </w:p>
    <w:p w14:paraId="279A1F4C" w14:textId="6A7C23D8" w:rsidR="002B5423" w:rsidRDefault="00DF5FD1" w:rsidP="00DF5FD1">
      <w:pPr>
        <w:pStyle w:val="BodyText"/>
        <w:numPr>
          <w:ilvl w:val="0"/>
          <w:numId w:val="29"/>
        </w:numPr>
      </w:pPr>
      <w:r>
        <w:t>O</w:t>
      </w:r>
      <w:r w:rsidR="002B5423">
        <w:t>ther policies and procedures</w:t>
      </w:r>
      <w:r w:rsidR="00481277">
        <w:t>,</w:t>
      </w:r>
      <w:r w:rsidR="00481277" w:rsidRPr="00481277">
        <w:t xml:space="preserve"> </w:t>
      </w:r>
      <w:r w:rsidR="00481277">
        <w:t>as applicable</w:t>
      </w:r>
      <w:r w:rsidR="002B5423">
        <w:t>.</w:t>
      </w:r>
    </w:p>
    <w:p w14:paraId="787C5230" w14:textId="77777777" w:rsidR="004B37F2" w:rsidRDefault="00324BA3" w:rsidP="00324BA3">
      <w:pPr>
        <w:pStyle w:val="BodyText"/>
      </w:pPr>
      <w:r>
        <w:t>For policy-covered staff employees, corrective action/discipline is governed by</w:t>
      </w:r>
      <w:r w:rsidR="0087760E">
        <w:t xml:space="preserve"> </w:t>
      </w:r>
      <w:r w:rsidR="00180A4D">
        <w:t xml:space="preserve">Personnel Policies for Staff Members </w:t>
      </w:r>
      <w:r w:rsidR="0087760E">
        <w:t>on</w:t>
      </w:r>
    </w:p>
    <w:p w14:paraId="084BBC14" w14:textId="77777777" w:rsidR="004B37F2" w:rsidRDefault="00000000" w:rsidP="004B37F2">
      <w:pPr>
        <w:pStyle w:val="BodyText"/>
        <w:numPr>
          <w:ilvl w:val="0"/>
          <w:numId w:val="30"/>
        </w:numPr>
      </w:pPr>
      <w:hyperlink r:id="rId23" w:history="1">
        <w:r w:rsidR="00C30243" w:rsidRPr="005001B7">
          <w:rPr>
            <w:rStyle w:val="Hyperlink"/>
          </w:rPr>
          <w:t>Corrective Action</w:t>
        </w:r>
      </w:hyperlink>
      <w:r w:rsidR="0087760E">
        <w:t xml:space="preserve"> (PPSM-62),</w:t>
      </w:r>
    </w:p>
    <w:p w14:paraId="2FB17AF1" w14:textId="57A44652" w:rsidR="004B37F2" w:rsidRDefault="00000000" w:rsidP="004B37F2">
      <w:pPr>
        <w:pStyle w:val="BodyText"/>
        <w:numPr>
          <w:ilvl w:val="0"/>
          <w:numId w:val="30"/>
        </w:numPr>
      </w:pPr>
      <w:hyperlink r:id="rId24" w:history="1">
        <w:r w:rsidR="00C30243" w:rsidRPr="00CD0347">
          <w:rPr>
            <w:rStyle w:val="Hyperlink"/>
          </w:rPr>
          <w:t>Investigatory Leave</w:t>
        </w:r>
      </w:hyperlink>
      <w:r w:rsidR="00C30243">
        <w:t xml:space="preserve"> </w:t>
      </w:r>
      <w:r w:rsidR="008660EC">
        <w:t>(PPSM-</w:t>
      </w:r>
      <w:r w:rsidR="00324BA3">
        <w:t>6</w:t>
      </w:r>
      <w:r w:rsidR="008660EC">
        <w:t>3)</w:t>
      </w:r>
      <w:r w:rsidR="00324BA3">
        <w:t>,</w:t>
      </w:r>
    </w:p>
    <w:p w14:paraId="194FD847" w14:textId="50E13A2A" w:rsidR="004B37F2" w:rsidRDefault="00000000" w:rsidP="004B37F2">
      <w:pPr>
        <w:pStyle w:val="BodyText"/>
        <w:numPr>
          <w:ilvl w:val="0"/>
          <w:numId w:val="30"/>
        </w:numPr>
      </w:pPr>
      <w:hyperlink r:id="rId25" w:history="1">
        <w:r w:rsidR="00837C10" w:rsidRPr="00A271A7">
          <w:rPr>
            <w:rStyle w:val="Hyperlink"/>
          </w:rPr>
          <w:t>Termination and Job Abandonment</w:t>
        </w:r>
      </w:hyperlink>
      <w:r w:rsidR="00837C10">
        <w:t xml:space="preserve"> (PPSM-</w:t>
      </w:r>
      <w:r w:rsidR="00324BA3">
        <w:t>64</w:t>
      </w:r>
      <w:r w:rsidR="00B826DC">
        <w:t>)</w:t>
      </w:r>
      <w:r w:rsidR="004B37F2">
        <w:t xml:space="preserve"> /</w:t>
      </w:r>
      <w:r w:rsidR="002354E7">
        <w:t xml:space="preserve"> </w:t>
      </w:r>
      <w:hyperlink r:id="rId26" w:history="1">
        <w:r w:rsidR="00324BA3" w:rsidRPr="002354E7">
          <w:rPr>
            <w:rStyle w:val="Hyperlink"/>
          </w:rPr>
          <w:t>Termination of Appointment</w:t>
        </w:r>
      </w:hyperlink>
      <w:r w:rsidR="002354E7">
        <w:t xml:space="preserve"> (PPSM-II 64), </w:t>
      </w:r>
      <w:r w:rsidR="00324BA3">
        <w:t>which applies to Senior Management Group employees</w:t>
      </w:r>
      <w:r w:rsidR="004B37F2">
        <w:t xml:space="preserve">, </w:t>
      </w:r>
      <w:r w:rsidR="00324BA3">
        <w:t>and</w:t>
      </w:r>
    </w:p>
    <w:p w14:paraId="2D8FB49D" w14:textId="48530296" w:rsidR="00324BA3" w:rsidRDefault="004B37F2" w:rsidP="004B37F2">
      <w:pPr>
        <w:pStyle w:val="BodyText"/>
        <w:numPr>
          <w:ilvl w:val="0"/>
          <w:numId w:val="30"/>
        </w:numPr>
      </w:pPr>
      <w:r w:rsidRPr="004B37F2">
        <w:t>Other policies and procedures, as applicable.</w:t>
      </w:r>
    </w:p>
    <w:p w14:paraId="356DD109" w14:textId="355EBD2D" w:rsidR="00C6146B" w:rsidRDefault="00324BA3" w:rsidP="00324BA3">
      <w:pPr>
        <w:pStyle w:val="BodyText"/>
      </w:pPr>
      <w:r>
        <w:t xml:space="preserve">This </w:t>
      </w:r>
      <w:r w:rsidR="00A20534">
        <w:t>P</w:t>
      </w:r>
      <w:r>
        <w:t xml:space="preserve">olicy does not supplant disciplinary processes described in the APM or Academic Senate </w:t>
      </w:r>
      <w:proofErr w:type="spellStart"/>
      <w:r>
        <w:t>Bylaws</w:t>
      </w:r>
      <w:proofErr w:type="spellEnd"/>
      <w:r>
        <w:t xml:space="preserve"> or regulations. For represented employees, formal corrective action/discipline is governed by collective bargaining agreements.</w:t>
      </w:r>
    </w:p>
    <w:p w14:paraId="1DC2B4AA" w14:textId="497A87A1" w:rsidR="00246A34" w:rsidRDefault="00246A34" w:rsidP="00246A34">
      <w:pPr>
        <w:pStyle w:val="Heading2"/>
      </w:pPr>
      <w:r>
        <w:t>Reporting</w:t>
      </w:r>
      <w:r w:rsidR="00C52FEC">
        <w:t xml:space="preserve"> Noncompliance</w:t>
      </w:r>
      <w:r w:rsidR="00FB1F1D">
        <w:t xml:space="preserve"> </w:t>
      </w:r>
      <w:r w:rsidR="002B3D00">
        <w:t xml:space="preserve">to </w:t>
      </w:r>
      <w:r w:rsidR="00D32BD8">
        <w:t>Federal Agencies</w:t>
      </w:r>
    </w:p>
    <w:p w14:paraId="7D30F2D4" w14:textId="342FE391" w:rsidR="00366599" w:rsidRDefault="003942DF" w:rsidP="00324BA3">
      <w:pPr>
        <w:pStyle w:val="BodyText"/>
      </w:pPr>
      <w:r>
        <w:t>Campuses must r</w:t>
      </w:r>
      <w:r w:rsidR="00246A34" w:rsidRPr="00246A34">
        <w:t xml:space="preserve">eport </w:t>
      </w:r>
      <w:r w:rsidR="00EC2AD1" w:rsidRPr="00246A34">
        <w:t xml:space="preserve">to the federal funding agency </w:t>
      </w:r>
      <w:r w:rsidR="00246A34" w:rsidRPr="00246A34">
        <w:t xml:space="preserve">instances of failure to follow </w:t>
      </w:r>
      <w:r>
        <w:t xml:space="preserve">the USG </w:t>
      </w:r>
      <w:r w:rsidR="00246A34" w:rsidRPr="00246A34">
        <w:t>Policy, as well as mitigation measures undertaken</w:t>
      </w:r>
      <w:r w:rsidR="00EC2AD1">
        <w:t xml:space="preserve"> </w:t>
      </w:r>
      <w:r w:rsidR="00246A34" w:rsidRPr="00246A34">
        <w:t>to prevent recurrences of similar failures, within 30 calendar days of awareness or receipt of notification of a failure.</w:t>
      </w:r>
      <w:r w:rsidR="0056050F">
        <w:rPr>
          <w:rStyle w:val="FootnoteReference"/>
        </w:rPr>
        <w:footnoteReference w:id="11"/>
      </w:r>
    </w:p>
    <w:p w14:paraId="716BA17C" w14:textId="0DDA6FAD" w:rsidR="007202FB" w:rsidRPr="00D5393F" w:rsidRDefault="007202FB" w:rsidP="00036BB3">
      <w:pPr>
        <w:widowControl/>
        <w:tabs>
          <w:tab w:val="left" w:pos="1300"/>
        </w:tabs>
        <w:spacing w:after="120"/>
        <w:ind w:right="499"/>
      </w:pPr>
    </w:p>
    <w:p w14:paraId="53694014" w14:textId="77777777" w:rsidR="006021F4" w:rsidRPr="00D5393F" w:rsidRDefault="0044273D" w:rsidP="00805A94">
      <w:pPr>
        <w:pStyle w:val="Heading1"/>
      </w:pPr>
      <w:bookmarkStart w:id="20" w:name="_Toc180060757"/>
      <w:r w:rsidRPr="00D5393F">
        <w:t>PROCEDURES</w:t>
      </w:r>
      <w:bookmarkEnd w:id="20"/>
    </w:p>
    <w:p w14:paraId="07CC3116" w14:textId="56E77167" w:rsidR="006021F4" w:rsidRPr="00D5393F" w:rsidRDefault="006021F4" w:rsidP="00AA0E18">
      <w:pPr>
        <w:pStyle w:val="BodyText"/>
        <w:widowControl/>
        <w:spacing w:before="0" w:line="20" w:lineRule="exact"/>
        <w:ind w:left="191"/>
        <w:rPr>
          <w:sz w:val="2"/>
        </w:rPr>
      </w:pPr>
    </w:p>
    <w:p w14:paraId="3634FD5C" w14:textId="217BBFC0" w:rsidR="00BD77C8" w:rsidRPr="00D5393F" w:rsidRDefault="00BD77C8" w:rsidP="00BD77C8">
      <w:pPr>
        <w:pStyle w:val="ListParagraph"/>
        <w:widowControl/>
        <w:tabs>
          <w:tab w:val="left" w:pos="580"/>
        </w:tabs>
        <w:spacing w:before="118"/>
        <w:ind w:left="0" w:right="446" w:firstLine="0"/>
      </w:pPr>
      <w:r>
        <w:t xml:space="preserve">Each UC Location </w:t>
      </w:r>
      <w:r w:rsidRPr="00D5393F">
        <w:t xml:space="preserve">shall ensure that no research with </w:t>
      </w:r>
      <w:r w:rsidR="00DF714A">
        <w:t>Category 1 or Category 2</w:t>
      </w:r>
      <w:r w:rsidR="00DF714A" w:rsidRPr="00D5393F">
        <w:t xml:space="preserve"> </w:t>
      </w:r>
      <w:r w:rsidR="00DF714A">
        <w:t>a</w:t>
      </w:r>
      <w:r w:rsidRPr="00D5393F">
        <w:t>gents</w:t>
      </w:r>
      <w:r w:rsidR="00503571">
        <w:t xml:space="preserve"> and toxins</w:t>
      </w:r>
      <w:r w:rsidRPr="00D5393F">
        <w:t xml:space="preserve"> </w:t>
      </w:r>
      <w:r>
        <w:t xml:space="preserve">or PPP </w:t>
      </w:r>
      <w:r w:rsidRPr="00D5393F">
        <w:t>will be conducted unless the Principal Investigator ha</w:t>
      </w:r>
      <w:r w:rsidR="00444F41">
        <w:t>s</w:t>
      </w:r>
      <w:r w:rsidRPr="00D5393F">
        <w:t xml:space="preserve"> received education and training on </w:t>
      </w:r>
      <w:r w:rsidR="0075532B">
        <w:t>Category 1 and Category 2 research</w:t>
      </w:r>
      <w:r w:rsidRPr="00D5393F">
        <w:t>. This education and training must be sufficient to allow them to undertake an initial assessment to determine whether the research they wish to undertake</w:t>
      </w:r>
      <w:r w:rsidR="002F70D7">
        <w:t xml:space="preserve"> potentially falls under</w:t>
      </w:r>
      <w:r w:rsidRPr="00D5393F">
        <w:t xml:space="preserve"> </w:t>
      </w:r>
      <w:r w:rsidR="001A7FE7">
        <w:t>Category 1 or Ca</w:t>
      </w:r>
      <w:r w:rsidR="00D47F53">
        <w:t>tegory 2</w:t>
      </w:r>
      <w:r w:rsidRPr="00D5393F">
        <w:t>.</w:t>
      </w:r>
    </w:p>
    <w:p w14:paraId="484A7C04" w14:textId="64CFC64F" w:rsidR="00BD77C8" w:rsidRDefault="00D32F77" w:rsidP="00BD77C8">
      <w:pPr>
        <w:pStyle w:val="BodyText"/>
        <w:widowControl/>
        <w:spacing w:before="105"/>
      </w:pPr>
      <w:r>
        <w:t xml:space="preserve">UC Locations must develop procedures to implement this Policy, the </w:t>
      </w:r>
      <w:hyperlink r:id="rId27" w:history="1">
        <w:r w:rsidRPr="00260357">
          <w:rPr>
            <w:rStyle w:val="Hyperlink"/>
          </w:rPr>
          <w:t>USG Policy</w:t>
        </w:r>
      </w:hyperlink>
      <w:r>
        <w:t xml:space="preserve">, and </w:t>
      </w:r>
      <w:hyperlink r:id="rId28" w:history="1">
        <w:r w:rsidRPr="00260357">
          <w:rPr>
            <w:rStyle w:val="Hyperlink"/>
          </w:rPr>
          <w:t>USG Guidance</w:t>
        </w:r>
      </w:hyperlink>
      <w:r w:rsidR="00BD77C8" w:rsidRPr="003F5DF2">
        <w:t xml:space="preserve">, including establishment of an IRE committee for the identification and oversight of </w:t>
      </w:r>
      <w:r w:rsidR="0075532B">
        <w:t>Category 1 and Category 2 research</w:t>
      </w:r>
      <w:r w:rsidR="00BD77C8" w:rsidRPr="003F5DF2">
        <w:t>.</w:t>
      </w:r>
    </w:p>
    <w:p w14:paraId="3DC68F16" w14:textId="34C80527" w:rsidR="006021F4" w:rsidRPr="00870F39" w:rsidRDefault="006021F4" w:rsidP="0076355D">
      <w:pPr>
        <w:pStyle w:val="BodyText"/>
        <w:widowControl/>
        <w:spacing w:before="0" w:after="120"/>
      </w:pPr>
    </w:p>
    <w:p w14:paraId="056C1204" w14:textId="77777777" w:rsidR="006021F4" w:rsidRPr="00D5393F" w:rsidRDefault="0044273D" w:rsidP="00805A94">
      <w:pPr>
        <w:pStyle w:val="Heading1"/>
      </w:pPr>
      <w:bookmarkStart w:id="21" w:name="VI._Related_Information"/>
      <w:bookmarkStart w:id="22" w:name="_bookmark8"/>
      <w:bookmarkStart w:id="23" w:name="_Toc180060758"/>
      <w:bookmarkEnd w:id="21"/>
      <w:bookmarkEnd w:id="22"/>
      <w:r w:rsidRPr="00D5393F">
        <w:t>RELATED INFORMATION</w:t>
      </w:r>
      <w:bookmarkEnd w:id="23"/>
    </w:p>
    <w:p w14:paraId="1DFBE0D2" w14:textId="1A34917B" w:rsidR="006021F4" w:rsidRPr="00D5393F" w:rsidRDefault="006021F4" w:rsidP="00AA0E18">
      <w:pPr>
        <w:pStyle w:val="BodyText"/>
        <w:widowControl/>
        <w:spacing w:before="0" w:line="20" w:lineRule="exact"/>
        <w:ind w:left="191"/>
        <w:rPr>
          <w:sz w:val="2"/>
        </w:rPr>
      </w:pPr>
    </w:p>
    <w:p w14:paraId="371C9D71" w14:textId="3BDA701C" w:rsidR="00274751" w:rsidRDefault="00000000" w:rsidP="00870F39">
      <w:pPr>
        <w:pStyle w:val="ListParagraph"/>
        <w:widowControl/>
        <w:numPr>
          <w:ilvl w:val="0"/>
          <w:numId w:val="2"/>
        </w:numPr>
        <w:spacing w:before="106" w:after="120"/>
        <w:ind w:left="360" w:right="364"/>
      </w:pPr>
      <w:hyperlink r:id="rId29" w:history="1">
        <w:r w:rsidR="00472B8A" w:rsidRPr="00472B8A">
          <w:rPr>
            <w:rStyle w:val="Hyperlink"/>
          </w:rPr>
          <w:t>United States Government Policy for Oversight of Dual Use Research of Concern and Pathogens with Enhanced Pandemic Potential (2024)</w:t>
        </w:r>
      </w:hyperlink>
      <w:r w:rsidR="00472B8A">
        <w:t xml:space="preserve">, </w:t>
      </w:r>
      <w:r w:rsidR="00472B8A" w:rsidRPr="00472B8A">
        <w:t>https://www.whitehouse.gov/wp-content/uploads/2024/05/USG-Policy-for-Oversight-of-DURC-and-PEPP.pdf</w:t>
      </w:r>
    </w:p>
    <w:p w14:paraId="43C0D4E8" w14:textId="3D57F4B5" w:rsidR="00472B8A" w:rsidRDefault="00000000" w:rsidP="00E571E4">
      <w:pPr>
        <w:pStyle w:val="ListParagraph"/>
        <w:widowControl/>
        <w:numPr>
          <w:ilvl w:val="0"/>
          <w:numId w:val="2"/>
        </w:numPr>
        <w:spacing w:before="106" w:after="120"/>
        <w:ind w:left="360" w:right="360"/>
      </w:pPr>
      <w:hyperlink r:id="rId30" w:history="1">
        <w:r w:rsidR="002B5366" w:rsidRPr="002B5366">
          <w:rPr>
            <w:rStyle w:val="Hyperlink"/>
          </w:rPr>
          <w:t>Implementation Guidance for the United States Government Policy for Oversight of Dual Use Research of Concern and Pathogens with Enhanced Pandemic Potential (2024)</w:t>
        </w:r>
      </w:hyperlink>
      <w:r w:rsidR="002B5366">
        <w:t xml:space="preserve">, </w:t>
      </w:r>
      <w:r w:rsidR="002B5366" w:rsidRPr="002B5366">
        <w:t>https://www.whitehouse.gov/wp-content/uploads/2024/05/USG-DURC-PEPP-Implementation-Guidance.pdf</w:t>
      </w:r>
    </w:p>
    <w:p w14:paraId="77236920" w14:textId="016DBF70" w:rsidR="0067501C" w:rsidRDefault="0067501C" w:rsidP="00870F39">
      <w:pPr>
        <w:pStyle w:val="ListParagraph"/>
        <w:widowControl/>
        <w:numPr>
          <w:ilvl w:val="0"/>
          <w:numId w:val="2"/>
        </w:numPr>
        <w:spacing w:before="121" w:after="120" w:line="237" w:lineRule="auto"/>
        <w:ind w:left="360" w:right="355"/>
      </w:pPr>
      <w:bookmarkStart w:id="24" w:name="VII._Frequently_Asked_Questions"/>
      <w:bookmarkStart w:id="25" w:name="_bookmark9"/>
      <w:bookmarkEnd w:id="24"/>
      <w:bookmarkEnd w:id="25"/>
      <w:r>
        <w:t>Other research</w:t>
      </w:r>
      <w:r w:rsidR="001A1EA7">
        <w:t>-</w:t>
      </w:r>
      <w:r>
        <w:t>related University policies</w:t>
      </w:r>
      <w:r w:rsidR="00A20534">
        <w:t xml:space="preserve"> that may overlap with this Policy</w:t>
      </w:r>
      <w:r>
        <w:t>:</w:t>
      </w:r>
    </w:p>
    <w:p w14:paraId="68B31810" w14:textId="5370075A" w:rsidR="00FD0E7A" w:rsidRDefault="00000000" w:rsidP="002D4C93">
      <w:pPr>
        <w:pStyle w:val="ListParagraph"/>
        <w:widowControl/>
        <w:numPr>
          <w:ilvl w:val="1"/>
          <w:numId w:val="32"/>
        </w:numPr>
        <w:spacing w:before="121" w:after="120" w:line="237" w:lineRule="auto"/>
        <w:ind w:left="720" w:right="355"/>
      </w:pPr>
      <w:hyperlink r:id="rId31" w:history="1">
        <w:r w:rsidR="001516D5" w:rsidRPr="00F27BA3">
          <w:rPr>
            <w:rStyle w:val="Hyperlink"/>
          </w:rPr>
          <w:t>Export Control</w:t>
        </w:r>
        <w:r w:rsidR="00F27BA3" w:rsidRPr="00F27BA3">
          <w:rPr>
            <w:rStyle w:val="Hyperlink"/>
          </w:rPr>
          <w:t xml:space="preserve"> Policy</w:t>
        </w:r>
      </w:hyperlink>
    </w:p>
    <w:p w14:paraId="37184B96" w14:textId="0CBD0A73" w:rsidR="001516D5" w:rsidRDefault="00000000" w:rsidP="002D4C93">
      <w:pPr>
        <w:pStyle w:val="ListParagraph"/>
        <w:widowControl/>
        <w:numPr>
          <w:ilvl w:val="1"/>
          <w:numId w:val="32"/>
        </w:numPr>
        <w:spacing w:before="121" w:after="120" w:line="237" w:lineRule="auto"/>
        <w:ind w:left="720" w:right="355"/>
      </w:pPr>
      <w:hyperlink r:id="rId32" w:history="1">
        <w:r w:rsidR="00005574" w:rsidRPr="00005574">
          <w:rPr>
            <w:rStyle w:val="Hyperlink"/>
          </w:rPr>
          <w:t>Use of Animals in Research and Teaching</w:t>
        </w:r>
      </w:hyperlink>
    </w:p>
    <w:p w14:paraId="7568A64C" w14:textId="621C82A0" w:rsidR="00FD0E7A" w:rsidRPr="00D5393F" w:rsidRDefault="00000000" w:rsidP="002D4C93">
      <w:pPr>
        <w:pStyle w:val="ListParagraph"/>
        <w:widowControl/>
        <w:numPr>
          <w:ilvl w:val="1"/>
          <w:numId w:val="32"/>
        </w:numPr>
        <w:spacing w:before="121" w:after="120" w:line="237" w:lineRule="auto"/>
        <w:ind w:left="720" w:right="355"/>
      </w:pPr>
      <w:hyperlink r:id="rId33" w:history="1">
        <w:r w:rsidR="00A20534" w:rsidRPr="00A20534">
          <w:rPr>
            <w:rStyle w:val="Hyperlink"/>
          </w:rPr>
          <w:t>Protection of Human Subjects in Research</w:t>
        </w:r>
      </w:hyperlink>
    </w:p>
    <w:p w14:paraId="4A5BB46F" w14:textId="73CC3239" w:rsidR="006021F4" w:rsidRPr="00D5393F" w:rsidRDefault="006021F4" w:rsidP="00AA0E18">
      <w:pPr>
        <w:pStyle w:val="BodyText"/>
        <w:widowControl/>
        <w:spacing w:before="115"/>
        <w:rPr>
          <w:sz w:val="20"/>
        </w:rPr>
      </w:pPr>
    </w:p>
    <w:p w14:paraId="3B25D72C" w14:textId="77777777" w:rsidR="006021F4" w:rsidRPr="00D5393F" w:rsidRDefault="0044273D" w:rsidP="00805A94">
      <w:pPr>
        <w:pStyle w:val="Heading1"/>
      </w:pPr>
      <w:bookmarkStart w:id="26" w:name="_Toc180060759"/>
      <w:r w:rsidRPr="00D5393F">
        <w:t>FREQUENTLY ASKED QUESTIONS</w:t>
      </w:r>
      <w:bookmarkEnd w:id="26"/>
    </w:p>
    <w:p w14:paraId="35BC8C73" w14:textId="54908A17" w:rsidR="006021F4" w:rsidRPr="00D5393F" w:rsidRDefault="006021F4" w:rsidP="00AA0E18">
      <w:pPr>
        <w:pStyle w:val="BodyText"/>
        <w:widowControl/>
        <w:spacing w:before="0" w:line="20" w:lineRule="exact"/>
        <w:ind w:left="191"/>
        <w:rPr>
          <w:sz w:val="2"/>
        </w:rPr>
      </w:pPr>
    </w:p>
    <w:p w14:paraId="1D64ECF9" w14:textId="77777777" w:rsidR="006021F4" w:rsidRPr="00D5393F" w:rsidRDefault="0044273D" w:rsidP="00D95B81">
      <w:pPr>
        <w:pStyle w:val="BodyText"/>
        <w:widowControl/>
        <w:spacing w:before="105"/>
      </w:pPr>
      <w:r w:rsidRPr="00D5393F">
        <w:t>Not applicable.</w:t>
      </w:r>
    </w:p>
    <w:p w14:paraId="43E3D417" w14:textId="68A7AFDD" w:rsidR="006021F4" w:rsidRPr="00D5393F" w:rsidRDefault="006021F4" w:rsidP="00AA0E18">
      <w:pPr>
        <w:pStyle w:val="BodyText"/>
        <w:widowControl/>
        <w:spacing w:before="110"/>
        <w:rPr>
          <w:sz w:val="20"/>
        </w:rPr>
      </w:pPr>
    </w:p>
    <w:p w14:paraId="164C42B6" w14:textId="77777777" w:rsidR="006021F4" w:rsidRPr="00D5393F" w:rsidRDefault="0044273D" w:rsidP="00057E2A">
      <w:pPr>
        <w:pStyle w:val="Heading1"/>
      </w:pPr>
      <w:bookmarkStart w:id="27" w:name="VIII._Revision_History"/>
      <w:bookmarkStart w:id="28" w:name="_bookmark10"/>
      <w:bookmarkStart w:id="29" w:name="_Toc180060760"/>
      <w:bookmarkEnd w:id="27"/>
      <w:bookmarkEnd w:id="28"/>
      <w:r w:rsidRPr="00D5393F">
        <w:t>REVISION HISTORY</w:t>
      </w:r>
      <w:bookmarkEnd w:id="29"/>
    </w:p>
    <w:p w14:paraId="06A7F71E" w14:textId="7F0FECF3" w:rsidR="006021F4" w:rsidRPr="00D5393F" w:rsidRDefault="006021F4" w:rsidP="00AA0E18">
      <w:pPr>
        <w:pStyle w:val="BodyText"/>
        <w:widowControl/>
        <w:spacing w:before="0" w:line="20" w:lineRule="exact"/>
        <w:ind w:left="191"/>
        <w:rPr>
          <w:sz w:val="2"/>
        </w:rPr>
      </w:pPr>
    </w:p>
    <w:p w14:paraId="67F97073" w14:textId="386604E2" w:rsidR="00093E43" w:rsidRPr="00093E43" w:rsidRDefault="00093E43" w:rsidP="00D95B81">
      <w:pPr>
        <w:widowControl/>
        <w:spacing w:before="107"/>
        <w:rPr>
          <w:bCs/>
        </w:rPr>
      </w:pPr>
      <w:bookmarkStart w:id="30" w:name="September_1,_2017:"/>
      <w:bookmarkEnd w:id="30"/>
      <w:r>
        <w:rPr>
          <w:b/>
        </w:rPr>
        <w:t>XXX XX, XXXX:</w:t>
      </w:r>
      <w:r>
        <w:rPr>
          <w:bCs/>
        </w:rPr>
        <w:t xml:space="preserve"> </w:t>
      </w:r>
      <w:r w:rsidR="0037702B">
        <w:rPr>
          <w:bCs/>
        </w:rPr>
        <w:t xml:space="preserve">Revised to conform with </w:t>
      </w:r>
      <w:r w:rsidR="00712ADA">
        <w:rPr>
          <w:bCs/>
        </w:rPr>
        <w:t>updated</w:t>
      </w:r>
      <w:r w:rsidR="000B6544">
        <w:rPr>
          <w:bCs/>
        </w:rPr>
        <w:t xml:space="preserve"> USG Policy and USG Guidance</w:t>
      </w:r>
      <w:r w:rsidR="007A640E">
        <w:rPr>
          <w:bCs/>
        </w:rPr>
        <w:t xml:space="preserve"> issued May 6, 2024</w:t>
      </w:r>
      <w:r w:rsidR="000B6544">
        <w:rPr>
          <w:bCs/>
        </w:rPr>
        <w:t>.</w:t>
      </w:r>
    </w:p>
    <w:p w14:paraId="74BFF9CF" w14:textId="51E56250" w:rsidR="006021F4" w:rsidRPr="00D5393F" w:rsidRDefault="0044273D" w:rsidP="00D95B81">
      <w:pPr>
        <w:widowControl/>
        <w:spacing w:before="107"/>
      </w:pPr>
      <w:r w:rsidRPr="00D5393F">
        <w:rPr>
          <w:b/>
        </w:rPr>
        <w:t xml:space="preserve">September 1, 2017: </w:t>
      </w:r>
      <w:r w:rsidRPr="00D5393F">
        <w:t>The following technical revisions made to the policy:</w:t>
      </w:r>
    </w:p>
    <w:p w14:paraId="03DF7815" w14:textId="77777777" w:rsidR="006021F4" w:rsidRPr="00D5393F" w:rsidRDefault="0044273D" w:rsidP="00D95B81">
      <w:pPr>
        <w:pStyle w:val="ListParagraph"/>
        <w:widowControl/>
        <w:numPr>
          <w:ilvl w:val="0"/>
          <w:numId w:val="1"/>
        </w:numPr>
        <w:spacing w:before="121" w:line="237" w:lineRule="auto"/>
        <w:ind w:left="720" w:right="576"/>
      </w:pPr>
      <w:r w:rsidRPr="00D5393F">
        <w:t>misleading language from bullets 2 and 3 under the ICDUR responsibilities were removed and replaced with new language more closely aligned with what is required by DHS and actual practice at UC campuses</w:t>
      </w:r>
    </w:p>
    <w:p w14:paraId="2F0E771A" w14:textId="77777777" w:rsidR="006021F4" w:rsidRPr="00D5393F" w:rsidRDefault="0044273D" w:rsidP="00D95B81">
      <w:pPr>
        <w:pStyle w:val="ListParagraph"/>
        <w:widowControl/>
        <w:numPr>
          <w:ilvl w:val="0"/>
          <w:numId w:val="1"/>
        </w:numPr>
        <w:spacing w:before="123"/>
        <w:ind w:left="720" w:right="681"/>
      </w:pPr>
      <w:r w:rsidRPr="00D5393F">
        <w:t>removed paragraph 1 under IRE Review Process and replaced with new language to more clearly define the IRE’s responsibility in compliance with DHS policy.</w:t>
      </w:r>
    </w:p>
    <w:p w14:paraId="58FBE022" w14:textId="77777777" w:rsidR="006021F4" w:rsidRPr="00D5393F" w:rsidRDefault="0044273D" w:rsidP="00D95B81">
      <w:pPr>
        <w:pStyle w:val="ListParagraph"/>
        <w:widowControl/>
        <w:numPr>
          <w:ilvl w:val="0"/>
          <w:numId w:val="1"/>
        </w:numPr>
        <w:spacing w:before="118"/>
        <w:ind w:left="720" w:hanging="359"/>
      </w:pPr>
      <w:r w:rsidRPr="00D5393F">
        <w:t>policy contact information was also updated</w:t>
      </w:r>
    </w:p>
    <w:p w14:paraId="51D26153" w14:textId="77777777" w:rsidR="006021F4" w:rsidRPr="00D5393F" w:rsidRDefault="0044273D" w:rsidP="00D95B81">
      <w:pPr>
        <w:pStyle w:val="BodyText"/>
        <w:widowControl/>
        <w:spacing w:before="118"/>
        <w:ind w:right="208"/>
      </w:pPr>
      <w:r w:rsidRPr="00D5393F">
        <w:t>This Policy was also remediated to meet Web Content Accessibility Guidelines (WCAG) 2.0.</w:t>
      </w:r>
    </w:p>
    <w:p w14:paraId="4122F088" w14:textId="35942005" w:rsidR="00453DF1" w:rsidRPr="00D5393F" w:rsidRDefault="0044273D" w:rsidP="00D95B81">
      <w:pPr>
        <w:widowControl/>
        <w:spacing w:before="123"/>
      </w:pPr>
      <w:bookmarkStart w:id="31" w:name="September_24,_2015:"/>
      <w:bookmarkEnd w:id="31"/>
      <w:r w:rsidRPr="00D5393F">
        <w:rPr>
          <w:b/>
        </w:rPr>
        <w:t xml:space="preserve">September 24, 2015: </w:t>
      </w:r>
      <w:r w:rsidRPr="00D5393F">
        <w:t>Issued as a new policy.</w:t>
      </w:r>
    </w:p>
    <w:sectPr w:rsidR="00453DF1" w:rsidRPr="00D5393F" w:rsidSect="00AE47C0">
      <w:headerReference w:type="default" r:id="rId34"/>
      <w:footerReference w:type="default" r:id="rId35"/>
      <w:pgSz w:w="12240" w:h="15840"/>
      <w:pgMar w:top="1420" w:right="1140" w:bottom="980" w:left="1220" w:header="576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6D30C" w14:textId="77777777" w:rsidR="00FA60E1" w:rsidRDefault="00FA60E1">
      <w:r>
        <w:separator/>
      </w:r>
    </w:p>
  </w:endnote>
  <w:endnote w:type="continuationSeparator" w:id="0">
    <w:p w14:paraId="52A30FBB" w14:textId="77777777" w:rsidR="00FA60E1" w:rsidRDefault="00FA60E1">
      <w:r>
        <w:continuationSeparator/>
      </w:r>
    </w:p>
  </w:endnote>
  <w:endnote w:type="continuationNotice" w:id="1">
    <w:p w14:paraId="029E406B" w14:textId="77777777" w:rsidR="00FA60E1" w:rsidRDefault="00FA60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EFBFC" w14:textId="6BD7B198" w:rsidR="006021F4" w:rsidRPr="004B0D4C" w:rsidRDefault="004B0D4C" w:rsidP="004B0D4C">
    <w:pPr>
      <w:pStyle w:val="BodyText"/>
      <w:tabs>
        <w:tab w:val="right" w:pos="9880"/>
      </w:tabs>
      <w:spacing w:before="12"/>
      <w:ind w:left="60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rPr>
        <w:spacing w:val="-2"/>
      </w:rPr>
      <w:t xml:space="preserve"> </w:t>
    </w:r>
    <w:r>
      <w:t>of</w:t>
    </w:r>
    <w:r>
      <w:rPr>
        <w:spacing w:val="-1"/>
      </w:rPr>
      <w:t xml:space="preserve"> </w:t>
    </w:r>
    <w:r>
      <w:rPr>
        <w:spacing w:val="-5"/>
      </w:rPr>
      <w:fldChar w:fldCharType="begin"/>
    </w:r>
    <w:r>
      <w:rPr>
        <w:spacing w:val="-5"/>
      </w:rPr>
      <w:instrText xml:space="preserve"> NUMPAGES </w:instrText>
    </w:r>
    <w:r>
      <w:rPr>
        <w:spacing w:val="-5"/>
      </w:rPr>
      <w:fldChar w:fldCharType="separate"/>
    </w:r>
    <w:r>
      <w:rPr>
        <w:spacing w:val="-5"/>
      </w:rPr>
      <w:t>10</w:t>
    </w:r>
    <w:r>
      <w:rPr>
        <w:spacing w:val="-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8F11F" w14:textId="77777777" w:rsidR="00FA60E1" w:rsidRDefault="00FA60E1">
      <w:r>
        <w:separator/>
      </w:r>
    </w:p>
  </w:footnote>
  <w:footnote w:type="continuationSeparator" w:id="0">
    <w:p w14:paraId="7CDD844E" w14:textId="77777777" w:rsidR="00FA60E1" w:rsidRDefault="00FA60E1">
      <w:r>
        <w:continuationSeparator/>
      </w:r>
    </w:p>
  </w:footnote>
  <w:footnote w:type="continuationNotice" w:id="1">
    <w:p w14:paraId="2C35A3EB" w14:textId="77777777" w:rsidR="00FA60E1" w:rsidRDefault="00FA60E1"/>
  </w:footnote>
  <w:footnote w:id="2">
    <w:p w14:paraId="35700C2D" w14:textId="13CB6E4F" w:rsidR="003C4EDC" w:rsidRDefault="003C4ED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3C4EDC">
          <w:rPr>
            <w:rStyle w:val="Hyperlink"/>
          </w:rPr>
          <w:t>United States Government Policy for Oversight of Dual Use Research of Concern and Pathogens with Enhanced Pandemic Potential</w:t>
        </w:r>
      </w:hyperlink>
      <w:r>
        <w:t xml:space="preserve"> (May 2024).</w:t>
      </w:r>
    </w:p>
  </w:footnote>
  <w:footnote w:id="3">
    <w:p w14:paraId="42681A35" w14:textId="67171CC4" w:rsidR="003C4EDC" w:rsidRDefault="003C4ED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3C4EDC">
          <w:rPr>
            <w:rStyle w:val="Hyperlink"/>
          </w:rPr>
          <w:t>Implementation Guidance for the United States Government Policy for Oversight of Dual Use Research of Concern and Pathogens with Enhanced Pandemic Potential</w:t>
        </w:r>
      </w:hyperlink>
      <w:r>
        <w:t xml:space="preserve"> (May 2024).</w:t>
      </w:r>
    </w:p>
  </w:footnote>
  <w:footnote w:id="4">
    <w:p w14:paraId="670BDCF7" w14:textId="6DD795FF" w:rsidR="000E1842" w:rsidRDefault="000E184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0E1842">
          <w:rPr>
            <w:rStyle w:val="Hyperlink"/>
          </w:rPr>
          <w:t>United States Government Policy for Oversight of Life Sciences Dual Use Research of Concern</w:t>
        </w:r>
      </w:hyperlink>
      <w:r w:rsidRPr="000E1842">
        <w:t xml:space="preserve"> (2012)</w:t>
      </w:r>
      <w:r>
        <w:t>.</w:t>
      </w:r>
    </w:p>
  </w:footnote>
  <w:footnote w:id="5">
    <w:p w14:paraId="67A7E711" w14:textId="58774198" w:rsidR="000E1842" w:rsidRDefault="000E184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" w:history="1">
        <w:r w:rsidRPr="000E1842">
          <w:rPr>
            <w:rStyle w:val="Hyperlink"/>
          </w:rPr>
          <w:t>United States Government Policy for Institutional Oversight of Life Sciences Dual Use Research of Concern</w:t>
        </w:r>
      </w:hyperlink>
      <w:r w:rsidRPr="000E1842">
        <w:t xml:space="preserve"> (2014).</w:t>
      </w:r>
    </w:p>
  </w:footnote>
  <w:footnote w:id="6">
    <w:p w14:paraId="055B7C43" w14:textId="31FB2683" w:rsidR="000E1842" w:rsidRDefault="000E184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" w:history="1">
        <w:r w:rsidR="00236EA2" w:rsidRPr="00236EA2">
          <w:rPr>
            <w:rStyle w:val="Hyperlink"/>
          </w:rPr>
          <w:t>Recommended Policy Guidance for Departmental Development of Review Mechanisms for Potential Pandemic Pathogen Care and Oversight</w:t>
        </w:r>
      </w:hyperlink>
      <w:r w:rsidRPr="000E1842">
        <w:t xml:space="preserve"> (2017)</w:t>
      </w:r>
      <w:r>
        <w:t>.</w:t>
      </w:r>
    </w:p>
  </w:footnote>
  <w:footnote w:id="7">
    <w:p w14:paraId="51879BA9" w14:textId="643FC5EC" w:rsidR="00E02B65" w:rsidRDefault="00E02B6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" w:history="1">
        <w:r w:rsidRPr="00E02B65">
          <w:rPr>
            <w:rStyle w:val="Hyperlink"/>
          </w:rPr>
          <w:t>USG Policy</w:t>
        </w:r>
      </w:hyperlink>
      <w:r>
        <w:t xml:space="preserve"> § 3.</w:t>
      </w:r>
    </w:p>
  </w:footnote>
  <w:footnote w:id="8">
    <w:p w14:paraId="4B641EFD" w14:textId="7FC211DD" w:rsidR="00943D0C" w:rsidRDefault="00943D0C" w:rsidP="00943D0C">
      <w:pPr>
        <w:pStyle w:val="FootnoteText"/>
      </w:pPr>
      <w:r>
        <w:rPr>
          <w:rStyle w:val="FootnoteReference"/>
        </w:rPr>
        <w:footnoteRef/>
      </w:r>
      <w:r>
        <w:t xml:space="preserve"> The USG Policy </w:t>
      </w:r>
      <w:r w:rsidRPr="00277426">
        <w:t>categorizes the research previously overseen by the 2012 Federal DURC</w:t>
      </w:r>
      <w:r>
        <w:t xml:space="preserve"> Policy</w:t>
      </w:r>
      <w:r w:rsidRPr="00277426">
        <w:t>, the 2014 Institutional DURC</w:t>
      </w:r>
      <w:r>
        <w:t xml:space="preserve"> Policy</w:t>
      </w:r>
      <w:r w:rsidRPr="00277426">
        <w:t>, and the 2017 P3CO Framework policies into Category 1</w:t>
      </w:r>
      <w:r>
        <w:t xml:space="preserve"> (DURC)</w:t>
      </w:r>
      <w:r w:rsidRPr="00277426">
        <w:t xml:space="preserve"> and Category 2</w:t>
      </w:r>
      <w:r>
        <w:t xml:space="preserve"> (PEPP)</w:t>
      </w:r>
      <w:r w:rsidRPr="00277426">
        <w:t xml:space="preserve"> research</w:t>
      </w:r>
      <w:r>
        <w:t>.</w:t>
      </w:r>
      <w:r w:rsidR="00004F8D">
        <w:t xml:space="preserve"> </w:t>
      </w:r>
      <w:hyperlink r:id="rId7" w:history="1">
        <w:r w:rsidR="00004F8D" w:rsidRPr="00E02B65">
          <w:rPr>
            <w:rStyle w:val="Hyperlink"/>
          </w:rPr>
          <w:t>USG Policy</w:t>
        </w:r>
      </w:hyperlink>
      <w:r w:rsidR="00004F8D">
        <w:t xml:space="preserve"> § 4.</w:t>
      </w:r>
    </w:p>
  </w:footnote>
  <w:footnote w:id="9">
    <w:p w14:paraId="28A4EF6D" w14:textId="34F48443" w:rsidR="004B5559" w:rsidRDefault="004B555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" w:history="1">
        <w:r w:rsidR="00D943E6" w:rsidRPr="00E02B65">
          <w:rPr>
            <w:rStyle w:val="Hyperlink"/>
          </w:rPr>
          <w:t>USG Policy</w:t>
        </w:r>
      </w:hyperlink>
      <w:r w:rsidR="00D943E6">
        <w:t xml:space="preserve"> </w:t>
      </w:r>
      <w:r w:rsidR="00AF4911">
        <w:t xml:space="preserve">§ </w:t>
      </w:r>
      <w:r w:rsidR="00E02B65">
        <w:t>5</w:t>
      </w:r>
      <w:r w:rsidR="00AF4911">
        <w:t>.</w:t>
      </w:r>
    </w:p>
  </w:footnote>
  <w:footnote w:id="10">
    <w:p w14:paraId="6496E9D8" w14:textId="1A357A32" w:rsidR="00FA2157" w:rsidRDefault="00FA215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" w:history="1">
        <w:r w:rsidRPr="00FA2157">
          <w:rPr>
            <w:rStyle w:val="Hyperlink"/>
          </w:rPr>
          <w:t>USG Policy</w:t>
        </w:r>
      </w:hyperlink>
      <w:r>
        <w:t xml:space="preserve"> § 5.4, Non-Federally Funded Research.</w:t>
      </w:r>
    </w:p>
  </w:footnote>
  <w:footnote w:id="11">
    <w:p w14:paraId="2C3A10E9" w14:textId="4DFEA7B6" w:rsidR="0056050F" w:rsidRDefault="0056050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" w:history="1">
        <w:r w:rsidRPr="00A41028">
          <w:rPr>
            <w:rStyle w:val="Hyperlink"/>
          </w:rPr>
          <w:t>USG Policy</w:t>
        </w:r>
      </w:hyperlink>
      <w:r>
        <w:t xml:space="preserve"> </w:t>
      </w:r>
      <w:r w:rsidR="00A41028">
        <w:t xml:space="preserve">§ </w:t>
      </w:r>
      <w:r w:rsidR="00A41028" w:rsidRPr="00A41028">
        <w:t>5.2</w:t>
      </w:r>
      <w:r w:rsidR="00A41028">
        <w:t>.K,</w:t>
      </w:r>
      <w:r w:rsidR="00A41028" w:rsidRPr="00A41028">
        <w:t xml:space="preserve"> Responsibilities of Research Institutions</w:t>
      </w:r>
      <w:r w:rsidR="00A41028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6AF1F" w14:textId="7B5F6F7B" w:rsidR="004B0D4C" w:rsidRDefault="00000000" w:rsidP="004B0D4C">
    <w:pPr>
      <w:spacing w:before="14"/>
      <w:ind w:left="20"/>
      <w:rPr>
        <w:b/>
        <w:sz w:val="18"/>
      </w:rPr>
    </w:pPr>
    <w:sdt>
      <w:sdtPr>
        <w:rPr>
          <w:b/>
          <w:sz w:val="18"/>
        </w:rPr>
        <w:id w:val="234355280"/>
        <w:docPartObj>
          <w:docPartGallery w:val="Watermarks"/>
          <w:docPartUnique/>
        </w:docPartObj>
      </w:sdtPr>
      <w:sdtContent>
        <w:r w:rsidR="00FA60E1">
          <w:rPr>
            <w:b/>
            <w:noProof/>
            <w:sz w:val="18"/>
          </w:rPr>
          <w:pict w14:anchorId="2C3CC15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alt="" style="position:absolute;left:0;text-align:left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4B0D4C">
      <w:rPr>
        <w:b/>
        <w:sz w:val="18"/>
      </w:rPr>
      <w:t>University</w:t>
    </w:r>
    <w:r w:rsidR="004B0D4C">
      <w:rPr>
        <w:b/>
        <w:spacing w:val="-9"/>
        <w:sz w:val="18"/>
      </w:rPr>
      <w:t xml:space="preserve"> </w:t>
    </w:r>
    <w:r w:rsidR="004B0D4C">
      <w:rPr>
        <w:b/>
        <w:sz w:val="18"/>
      </w:rPr>
      <w:t>of</w:t>
    </w:r>
    <w:r w:rsidR="004B0D4C">
      <w:rPr>
        <w:b/>
        <w:spacing w:val="-1"/>
        <w:sz w:val="18"/>
      </w:rPr>
      <w:t xml:space="preserve"> </w:t>
    </w:r>
    <w:r w:rsidR="004B0D4C">
      <w:rPr>
        <w:b/>
        <w:sz w:val="18"/>
      </w:rPr>
      <w:t>California –</w:t>
    </w:r>
    <w:r w:rsidR="004B0D4C">
      <w:rPr>
        <w:b/>
        <w:spacing w:val="-2"/>
        <w:sz w:val="18"/>
      </w:rPr>
      <w:t xml:space="preserve"> </w:t>
    </w:r>
    <w:r w:rsidR="002F4F31">
      <w:rPr>
        <w:b/>
        <w:spacing w:val="-2"/>
        <w:sz w:val="18"/>
      </w:rPr>
      <w:t xml:space="preserve">DURC-PEPP </w:t>
    </w:r>
    <w:r w:rsidR="004B0D4C">
      <w:rPr>
        <w:b/>
        <w:sz w:val="18"/>
      </w:rPr>
      <w:t>Policy</w:t>
    </w:r>
  </w:p>
  <w:p w14:paraId="7A38E413" w14:textId="3DAEF16C" w:rsidR="006021F4" w:rsidRPr="004B0D4C" w:rsidRDefault="004B0D4C" w:rsidP="00057E2A">
    <w:pPr>
      <w:pStyle w:val="BodyText"/>
      <w:spacing w:before="1"/>
      <w:ind w:left="20" w:right="2680"/>
    </w:pPr>
    <w:r>
      <w:t>Dual</w:t>
    </w:r>
    <w:r>
      <w:rPr>
        <w:spacing w:val="-4"/>
      </w:rPr>
      <w:t xml:space="preserve"> </w:t>
    </w:r>
    <w:r>
      <w:t>Use</w:t>
    </w:r>
    <w:r>
      <w:rPr>
        <w:spacing w:val="-2"/>
      </w:rPr>
      <w:t xml:space="preserve"> </w:t>
    </w:r>
    <w:r>
      <w:t>Research</w:t>
    </w:r>
    <w:r>
      <w:rPr>
        <w:spacing w:val="-2"/>
      </w:rPr>
      <w:t xml:space="preserve"> </w:t>
    </w:r>
    <w:r>
      <w:t>of</w:t>
    </w:r>
    <w:r>
      <w:rPr>
        <w:spacing w:val="-6"/>
      </w:rPr>
      <w:t xml:space="preserve"> </w:t>
    </w:r>
    <w:r>
      <w:rPr>
        <w:spacing w:val="-2"/>
      </w:rPr>
      <w:t>Concern</w:t>
    </w:r>
    <w:r w:rsidR="00BF144F">
      <w:rPr>
        <w:spacing w:val="-2"/>
      </w:rPr>
      <w:t xml:space="preserve"> and Pathogens with Enhanced Pandemic Potential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36DE"/>
    <w:multiLevelType w:val="hybridMultilevel"/>
    <w:tmpl w:val="C944A9E4"/>
    <w:lvl w:ilvl="0" w:tplc="71041408">
      <w:start w:val="1"/>
      <w:numFmt w:val="lowerRoman"/>
      <w:lvlText w:val="%1.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" w15:restartNumberingAfterBreak="0">
    <w:nsid w:val="03F04E65"/>
    <w:multiLevelType w:val="hybridMultilevel"/>
    <w:tmpl w:val="A1FCB524"/>
    <w:lvl w:ilvl="0" w:tplc="C3C62608">
      <w:start w:val="1"/>
      <w:numFmt w:val="decimal"/>
      <w:lvlText w:val="%1."/>
      <w:lvlJc w:val="left"/>
      <w:pPr>
        <w:ind w:left="94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0"/>
        <w:w w:val="96"/>
        <w:sz w:val="24"/>
        <w:szCs w:val="24"/>
        <w:lang w:val="en-US" w:eastAsia="en-US" w:bidi="ar-SA"/>
      </w:rPr>
    </w:lvl>
    <w:lvl w:ilvl="1" w:tplc="80E09362">
      <w:numFmt w:val="bullet"/>
      <w:lvlText w:val=""/>
      <w:lvlJc w:val="left"/>
      <w:pPr>
        <w:ind w:left="13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F681C3A">
      <w:numFmt w:val="bullet"/>
      <w:lvlText w:val="•"/>
      <w:lvlJc w:val="left"/>
      <w:pPr>
        <w:ind w:left="2253" w:hanging="360"/>
      </w:pPr>
      <w:rPr>
        <w:rFonts w:hint="default"/>
        <w:lang w:val="en-US" w:eastAsia="en-US" w:bidi="ar-SA"/>
      </w:rPr>
    </w:lvl>
    <w:lvl w:ilvl="3" w:tplc="5D34E72C">
      <w:numFmt w:val="bullet"/>
      <w:lvlText w:val="•"/>
      <w:lvlJc w:val="left"/>
      <w:pPr>
        <w:ind w:left="3206" w:hanging="360"/>
      </w:pPr>
      <w:rPr>
        <w:rFonts w:hint="default"/>
        <w:lang w:val="en-US" w:eastAsia="en-US" w:bidi="ar-SA"/>
      </w:rPr>
    </w:lvl>
    <w:lvl w:ilvl="4" w:tplc="133650F2"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  <w:lvl w:ilvl="5" w:tplc="A868198C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7012CF82">
      <w:numFmt w:val="bullet"/>
      <w:lvlText w:val="•"/>
      <w:lvlJc w:val="left"/>
      <w:pPr>
        <w:ind w:left="6066" w:hanging="360"/>
      </w:pPr>
      <w:rPr>
        <w:rFonts w:hint="default"/>
        <w:lang w:val="en-US" w:eastAsia="en-US" w:bidi="ar-SA"/>
      </w:rPr>
    </w:lvl>
    <w:lvl w:ilvl="7" w:tplc="620CCBFE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4E66362C">
      <w:numFmt w:val="bullet"/>
      <w:lvlText w:val="•"/>
      <w:lvlJc w:val="left"/>
      <w:pPr>
        <w:ind w:left="797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E7B3991"/>
    <w:multiLevelType w:val="hybridMultilevel"/>
    <w:tmpl w:val="82B872F8"/>
    <w:lvl w:ilvl="0" w:tplc="17A6BA2C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32241B0"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ar-SA"/>
      </w:rPr>
    </w:lvl>
    <w:lvl w:ilvl="2" w:tplc="7DA80826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3" w:tplc="0BDC4382">
      <w:numFmt w:val="bullet"/>
      <w:lvlText w:val="•"/>
      <w:lvlJc w:val="left"/>
      <w:pPr>
        <w:ind w:left="3622" w:hanging="360"/>
      </w:pPr>
      <w:rPr>
        <w:rFonts w:hint="default"/>
        <w:lang w:val="en-US" w:eastAsia="en-US" w:bidi="ar-SA"/>
      </w:rPr>
    </w:lvl>
    <w:lvl w:ilvl="4" w:tplc="5A54DCDE">
      <w:numFmt w:val="bullet"/>
      <w:lvlText w:val="•"/>
      <w:lvlJc w:val="left"/>
      <w:pPr>
        <w:ind w:left="4516" w:hanging="360"/>
      </w:pPr>
      <w:rPr>
        <w:rFonts w:hint="default"/>
        <w:lang w:val="en-US" w:eastAsia="en-US" w:bidi="ar-SA"/>
      </w:rPr>
    </w:lvl>
    <w:lvl w:ilvl="5" w:tplc="D5A82A94">
      <w:numFmt w:val="bullet"/>
      <w:lvlText w:val="•"/>
      <w:lvlJc w:val="left"/>
      <w:pPr>
        <w:ind w:left="5410" w:hanging="360"/>
      </w:pPr>
      <w:rPr>
        <w:rFonts w:hint="default"/>
        <w:lang w:val="en-US" w:eastAsia="en-US" w:bidi="ar-SA"/>
      </w:rPr>
    </w:lvl>
    <w:lvl w:ilvl="6" w:tplc="E57685A8">
      <w:numFmt w:val="bullet"/>
      <w:lvlText w:val="•"/>
      <w:lvlJc w:val="left"/>
      <w:pPr>
        <w:ind w:left="6304" w:hanging="360"/>
      </w:pPr>
      <w:rPr>
        <w:rFonts w:hint="default"/>
        <w:lang w:val="en-US" w:eastAsia="en-US" w:bidi="ar-SA"/>
      </w:rPr>
    </w:lvl>
    <w:lvl w:ilvl="7" w:tplc="13E82E6E">
      <w:numFmt w:val="bullet"/>
      <w:lvlText w:val="•"/>
      <w:lvlJc w:val="left"/>
      <w:pPr>
        <w:ind w:left="7198" w:hanging="360"/>
      </w:pPr>
      <w:rPr>
        <w:rFonts w:hint="default"/>
        <w:lang w:val="en-US" w:eastAsia="en-US" w:bidi="ar-SA"/>
      </w:rPr>
    </w:lvl>
    <w:lvl w:ilvl="8" w:tplc="86FABCDA">
      <w:numFmt w:val="bullet"/>
      <w:lvlText w:val="•"/>
      <w:lvlJc w:val="left"/>
      <w:pPr>
        <w:ind w:left="809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DB84C96"/>
    <w:multiLevelType w:val="hybridMultilevel"/>
    <w:tmpl w:val="A47E0720"/>
    <w:lvl w:ilvl="0" w:tplc="BEC4F098">
      <w:numFmt w:val="bullet"/>
      <w:lvlText w:val=""/>
      <w:lvlJc w:val="left"/>
      <w:pPr>
        <w:ind w:left="13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5B230E6">
      <w:numFmt w:val="bullet"/>
      <w:lvlText w:val="•"/>
      <w:lvlJc w:val="left"/>
      <w:pPr>
        <w:ind w:left="2158" w:hanging="360"/>
      </w:pPr>
      <w:rPr>
        <w:rFonts w:hint="default"/>
        <w:lang w:val="en-US" w:eastAsia="en-US" w:bidi="ar-SA"/>
      </w:rPr>
    </w:lvl>
    <w:lvl w:ilvl="2" w:tplc="6AF23828">
      <w:numFmt w:val="bullet"/>
      <w:lvlText w:val="•"/>
      <w:lvlJc w:val="left"/>
      <w:pPr>
        <w:ind w:left="3016" w:hanging="360"/>
      </w:pPr>
      <w:rPr>
        <w:rFonts w:hint="default"/>
        <w:lang w:val="en-US" w:eastAsia="en-US" w:bidi="ar-SA"/>
      </w:rPr>
    </w:lvl>
    <w:lvl w:ilvl="3" w:tplc="E208E158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96FA59E4">
      <w:numFmt w:val="bullet"/>
      <w:lvlText w:val="•"/>
      <w:lvlJc w:val="left"/>
      <w:pPr>
        <w:ind w:left="4732" w:hanging="360"/>
      </w:pPr>
      <w:rPr>
        <w:rFonts w:hint="default"/>
        <w:lang w:val="en-US" w:eastAsia="en-US" w:bidi="ar-SA"/>
      </w:rPr>
    </w:lvl>
    <w:lvl w:ilvl="5" w:tplc="11380A9A">
      <w:numFmt w:val="bullet"/>
      <w:lvlText w:val="•"/>
      <w:lvlJc w:val="left"/>
      <w:pPr>
        <w:ind w:left="5590" w:hanging="360"/>
      </w:pPr>
      <w:rPr>
        <w:rFonts w:hint="default"/>
        <w:lang w:val="en-US" w:eastAsia="en-US" w:bidi="ar-SA"/>
      </w:rPr>
    </w:lvl>
    <w:lvl w:ilvl="6" w:tplc="103E951E">
      <w:numFmt w:val="bullet"/>
      <w:lvlText w:val="•"/>
      <w:lvlJc w:val="left"/>
      <w:pPr>
        <w:ind w:left="6448" w:hanging="360"/>
      </w:pPr>
      <w:rPr>
        <w:rFonts w:hint="default"/>
        <w:lang w:val="en-US" w:eastAsia="en-US" w:bidi="ar-SA"/>
      </w:rPr>
    </w:lvl>
    <w:lvl w:ilvl="7" w:tplc="1BDE8288">
      <w:numFmt w:val="bullet"/>
      <w:lvlText w:val="•"/>
      <w:lvlJc w:val="left"/>
      <w:pPr>
        <w:ind w:left="7306" w:hanging="360"/>
      </w:pPr>
      <w:rPr>
        <w:rFonts w:hint="default"/>
        <w:lang w:val="en-US" w:eastAsia="en-US" w:bidi="ar-SA"/>
      </w:rPr>
    </w:lvl>
    <w:lvl w:ilvl="8" w:tplc="155A915E">
      <w:numFmt w:val="bullet"/>
      <w:lvlText w:val="•"/>
      <w:lvlJc w:val="left"/>
      <w:pPr>
        <w:ind w:left="816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0017464"/>
    <w:multiLevelType w:val="hybridMultilevel"/>
    <w:tmpl w:val="CD58546C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5" w15:restartNumberingAfterBreak="0">
    <w:nsid w:val="222525BD"/>
    <w:multiLevelType w:val="hybridMultilevel"/>
    <w:tmpl w:val="B5CAA50A"/>
    <w:lvl w:ilvl="0" w:tplc="C3C62608">
      <w:start w:val="1"/>
      <w:numFmt w:val="decimal"/>
      <w:lvlText w:val="%1."/>
      <w:lvlJc w:val="left"/>
      <w:pPr>
        <w:ind w:left="58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0"/>
        <w:w w:val="96"/>
        <w:sz w:val="24"/>
        <w:szCs w:val="24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940" w:hanging="360"/>
      </w:pPr>
    </w:lvl>
    <w:lvl w:ilvl="2" w:tplc="51F81D2C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ar-SA"/>
      </w:rPr>
    </w:lvl>
    <w:lvl w:ilvl="3" w:tplc="94A277BE">
      <w:numFmt w:val="bullet"/>
      <w:lvlText w:val="•"/>
      <w:lvlJc w:val="left"/>
      <w:pPr>
        <w:ind w:left="2926" w:hanging="360"/>
      </w:pPr>
      <w:rPr>
        <w:rFonts w:hint="default"/>
        <w:lang w:val="en-US" w:eastAsia="en-US" w:bidi="ar-SA"/>
      </w:rPr>
    </w:lvl>
    <w:lvl w:ilvl="4" w:tplc="3F9A5614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5" w:tplc="95E4C7A4">
      <w:numFmt w:val="bullet"/>
      <w:lvlText w:val="•"/>
      <w:lvlJc w:val="left"/>
      <w:pPr>
        <w:ind w:left="4913" w:hanging="360"/>
      </w:pPr>
      <w:rPr>
        <w:rFonts w:hint="default"/>
        <w:lang w:val="en-US" w:eastAsia="en-US" w:bidi="ar-SA"/>
      </w:rPr>
    </w:lvl>
    <w:lvl w:ilvl="6" w:tplc="87787444">
      <w:numFmt w:val="bullet"/>
      <w:lvlText w:val="•"/>
      <w:lvlJc w:val="left"/>
      <w:pPr>
        <w:ind w:left="5906" w:hanging="360"/>
      </w:pPr>
      <w:rPr>
        <w:rFonts w:hint="default"/>
        <w:lang w:val="en-US" w:eastAsia="en-US" w:bidi="ar-SA"/>
      </w:rPr>
    </w:lvl>
    <w:lvl w:ilvl="7" w:tplc="BFA0D9CA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 w:tplc="D298CD46">
      <w:numFmt w:val="bullet"/>
      <w:lvlText w:val="•"/>
      <w:lvlJc w:val="left"/>
      <w:pPr>
        <w:ind w:left="7893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3FF374E"/>
    <w:multiLevelType w:val="hybridMultilevel"/>
    <w:tmpl w:val="34E22994"/>
    <w:lvl w:ilvl="0" w:tplc="C3C62608">
      <w:start w:val="1"/>
      <w:numFmt w:val="decimal"/>
      <w:lvlText w:val="%1."/>
      <w:lvlJc w:val="left"/>
      <w:pPr>
        <w:ind w:left="58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0"/>
        <w:w w:val="96"/>
        <w:sz w:val="24"/>
        <w:szCs w:val="24"/>
        <w:lang w:val="en-US" w:eastAsia="en-US" w:bidi="ar-SA"/>
      </w:rPr>
    </w:lvl>
    <w:lvl w:ilvl="1" w:tplc="FFFFFFFF">
      <w:numFmt w:val="bullet"/>
      <w:lvlText w:val=""/>
      <w:lvlJc w:val="left"/>
      <w:pPr>
        <w:ind w:left="13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253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06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6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7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2D01FAC"/>
    <w:multiLevelType w:val="hybridMultilevel"/>
    <w:tmpl w:val="3D066EB2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15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01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73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9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4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0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16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561118F"/>
    <w:multiLevelType w:val="hybridMultilevel"/>
    <w:tmpl w:val="952AFC12"/>
    <w:lvl w:ilvl="0" w:tplc="00AC480A">
      <w:start w:val="1"/>
      <w:numFmt w:val="upperRoman"/>
      <w:lvlText w:val="%1."/>
      <w:lvlJc w:val="left"/>
      <w:pPr>
        <w:ind w:left="760" w:hanging="291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FE62C27C">
      <w:numFmt w:val="bullet"/>
      <w:lvlText w:val="•"/>
      <w:lvlJc w:val="left"/>
      <w:pPr>
        <w:ind w:left="1672" w:hanging="291"/>
      </w:pPr>
      <w:rPr>
        <w:rFonts w:hint="default"/>
        <w:lang w:val="en-US" w:eastAsia="en-US" w:bidi="ar-SA"/>
      </w:rPr>
    </w:lvl>
    <w:lvl w:ilvl="2" w:tplc="C8EA5D88">
      <w:numFmt w:val="bullet"/>
      <w:lvlText w:val="•"/>
      <w:lvlJc w:val="left"/>
      <w:pPr>
        <w:ind w:left="2584" w:hanging="291"/>
      </w:pPr>
      <w:rPr>
        <w:rFonts w:hint="default"/>
        <w:lang w:val="en-US" w:eastAsia="en-US" w:bidi="ar-SA"/>
      </w:rPr>
    </w:lvl>
    <w:lvl w:ilvl="3" w:tplc="863C3BC2">
      <w:numFmt w:val="bullet"/>
      <w:lvlText w:val="•"/>
      <w:lvlJc w:val="left"/>
      <w:pPr>
        <w:ind w:left="3496" w:hanging="291"/>
      </w:pPr>
      <w:rPr>
        <w:rFonts w:hint="default"/>
        <w:lang w:val="en-US" w:eastAsia="en-US" w:bidi="ar-SA"/>
      </w:rPr>
    </w:lvl>
    <w:lvl w:ilvl="4" w:tplc="DEB20BEE">
      <w:numFmt w:val="bullet"/>
      <w:lvlText w:val="•"/>
      <w:lvlJc w:val="left"/>
      <w:pPr>
        <w:ind w:left="4408" w:hanging="291"/>
      </w:pPr>
      <w:rPr>
        <w:rFonts w:hint="default"/>
        <w:lang w:val="en-US" w:eastAsia="en-US" w:bidi="ar-SA"/>
      </w:rPr>
    </w:lvl>
    <w:lvl w:ilvl="5" w:tplc="E7822846">
      <w:numFmt w:val="bullet"/>
      <w:lvlText w:val="•"/>
      <w:lvlJc w:val="left"/>
      <w:pPr>
        <w:ind w:left="5320" w:hanging="291"/>
      </w:pPr>
      <w:rPr>
        <w:rFonts w:hint="default"/>
        <w:lang w:val="en-US" w:eastAsia="en-US" w:bidi="ar-SA"/>
      </w:rPr>
    </w:lvl>
    <w:lvl w:ilvl="6" w:tplc="92044F9A">
      <w:numFmt w:val="bullet"/>
      <w:lvlText w:val="•"/>
      <w:lvlJc w:val="left"/>
      <w:pPr>
        <w:ind w:left="6232" w:hanging="291"/>
      </w:pPr>
      <w:rPr>
        <w:rFonts w:hint="default"/>
        <w:lang w:val="en-US" w:eastAsia="en-US" w:bidi="ar-SA"/>
      </w:rPr>
    </w:lvl>
    <w:lvl w:ilvl="7" w:tplc="31EA4E5C">
      <w:numFmt w:val="bullet"/>
      <w:lvlText w:val="•"/>
      <w:lvlJc w:val="left"/>
      <w:pPr>
        <w:ind w:left="7144" w:hanging="291"/>
      </w:pPr>
      <w:rPr>
        <w:rFonts w:hint="default"/>
        <w:lang w:val="en-US" w:eastAsia="en-US" w:bidi="ar-SA"/>
      </w:rPr>
    </w:lvl>
    <w:lvl w:ilvl="8" w:tplc="8E74893A">
      <w:numFmt w:val="bullet"/>
      <w:lvlText w:val="•"/>
      <w:lvlJc w:val="left"/>
      <w:pPr>
        <w:ind w:left="8056" w:hanging="291"/>
      </w:pPr>
      <w:rPr>
        <w:rFonts w:hint="default"/>
        <w:lang w:val="en-US" w:eastAsia="en-US" w:bidi="ar-SA"/>
      </w:rPr>
    </w:lvl>
  </w:abstractNum>
  <w:abstractNum w:abstractNumId="9" w15:restartNumberingAfterBreak="0">
    <w:nsid w:val="3A6916A9"/>
    <w:multiLevelType w:val="hybridMultilevel"/>
    <w:tmpl w:val="6CA4463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C2531"/>
    <w:multiLevelType w:val="hybridMultilevel"/>
    <w:tmpl w:val="9FE6D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3564B"/>
    <w:multiLevelType w:val="hybridMultilevel"/>
    <w:tmpl w:val="71880EFA"/>
    <w:lvl w:ilvl="0" w:tplc="EBF80818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7868D90"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ar-SA"/>
      </w:rPr>
    </w:lvl>
    <w:lvl w:ilvl="2" w:tplc="45C88864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3" w:tplc="F28C7542">
      <w:numFmt w:val="bullet"/>
      <w:lvlText w:val="•"/>
      <w:lvlJc w:val="left"/>
      <w:pPr>
        <w:ind w:left="3622" w:hanging="360"/>
      </w:pPr>
      <w:rPr>
        <w:rFonts w:hint="default"/>
        <w:lang w:val="en-US" w:eastAsia="en-US" w:bidi="ar-SA"/>
      </w:rPr>
    </w:lvl>
    <w:lvl w:ilvl="4" w:tplc="012402C4">
      <w:numFmt w:val="bullet"/>
      <w:lvlText w:val="•"/>
      <w:lvlJc w:val="left"/>
      <w:pPr>
        <w:ind w:left="4516" w:hanging="360"/>
      </w:pPr>
      <w:rPr>
        <w:rFonts w:hint="default"/>
        <w:lang w:val="en-US" w:eastAsia="en-US" w:bidi="ar-SA"/>
      </w:rPr>
    </w:lvl>
    <w:lvl w:ilvl="5" w:tplc="99DC033C">
      <w:numFmt w:val="bullet"/>
      <w:lvlText w:val="•"/>
      <w:lvlJc w:val="left"/>
      <w:pPr>
        <w:ind w:left="5410" w:hanging="360"/>
      </w:pPr>
      <w:rPr>
        <w:rFonts w:hint="default"/>
        <w:lang w:val="en-US" w:eastAsia="en-US" w:bidi="ar-SA"/>
      </w:rPr>
    </w:lvl>
    <w:lvl w:ilvl="6" w:tplc="8780B404">
      <w:numFmt w:val="bullet"/>
      <w:lvlText w:val="•"/>
      <w:lvlJc w:val="left"/>
      <w:pPr>
        <w:ind w:left="6304" w:hanging="360"/>
      </w:pPr>
      <w:rPr>
        <w:rFonts w:hint="default"/>
        <w:lang w:val="en-US" w:eastAsia="en-US" w:bidi="ar-SA"/>
      </w:rPr>
    </w:lvl>
    <w:lvl w:ilvl="7" w:tplc="78D63104">
      <w:numFmt w:val="bullet"/>
      <w:lvlText w:val="•"/>
      <w:lvlJc w:val="left"/>
      <w:pPr>
        <w:ind w:left="7198" w:hanging="360"/>
      </w:pPr>
      <w:rPr>
        <w:rFonts w:hint="default"/>
        <w:lang w:val="en-US" w:eastAsia="en-US" w:bidi="ar-SA"/>
      </w:rPr>
    </w:lvl>
    <w:lvl w:ilvl="8" w:tplc="CF36CDF6">
      <w:numFmt w:val="bullet"/>
      <w:lvlText w:val="•"/>
      <w:lvlJc w:val="left"/>
      <w:pPr>
        <w:ind w:left="8092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4C53483B"/>
    <w:multiLevelType w:val="hybridMultilevel"/>
    <w:tmpl w:val="99CE2128"/>
    <w:lvl w:ilvl="0" w:tplc="624C8686">
      <w:start w:val="1"/>
      <w:numFmt w:val="upperLetter"/>
      <w:lvlText w:val="%1."/>
      <w:lvlJc w:val="left"/>
      <w:pPr>
        <w:ind w:left="5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430ED1E">
      <w:numFmt w:val="bullet"/>
      <w:lvlText w:val=""/>
      <w:lvlJc w:val="left"/>
      <w:pPr>
        <w:ind w:left="13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5601BB2">
      <w:numFmt w:val="bullet"/>
      <w:lvlText w:val="•"/>
      <w:lvlJc w:val="left"/>
      <w:pPr>
        <w:ind w:left="2253" w:hanging="360"/>
      </w:pPr>
      <w:rPr>
        <w:rFonts w:hint="default"/>
        <w:lang w:val="en-US" w:eastAsia="en-US" w:bidi="ar-SA"/>
      </w:rPr>
    </w:lvl>
    <w:lvl w:ilvl="3" w:tplc="02E69FAE">
      <w:numFmt w:val="bullet"/>
      <w:lvlText w:val="•"/>
      <w:lvlJc w:val="left"/>
      <w:pPr>
        <w:ind w:left="3206" w:hanging="360"/>
      </w:pPr>
      <w:rPr>
        <w:rFonts w:hint="default"/>
        <w:lang w:val="en-US" w:eastAsia="en-US" w:bidi="ar-SA"/>
      </w:rPr>
    </w:lvl>
    <w:lvl w:ilvl="4" w:tplc="5A446546"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  <w:lvl w:ilvl="5" w:tplc="A44A2E92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1B5E4AB4">
      <w:numFmt w:val="bullet"/>
      <w:lvlText w:val="•"/>
      <w:lvlJc w:val="left"/>
      <w:pPr>
        <w:ind w:left="6066" w:hanging="360"/>
      </w:pPr>
      <w:rPr>
        <w:rFonts w:hint="default"/>
        <w:lang w:val="en-US" w:eastAsia="en-US" w:bidi="ar-SA"/>
      </w:rPr>
    </w:lvl>
    <w:lvl w:ilvl="7" w:tplc="56DCA42A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4DF049CA">
      <w:numFmt w:val="bullet"/>
      <w:lvlText w:val="•"/>
      <w:lvlJc w:val="left"/>
      <w:pPr>
        <w:ind w:left="7973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4700E07"/>
    <w:multiLevelType w:val="hybridMultilevel"/>
    <w:tmpl w:val="ABC67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3D4879"/>
    <w:multiLevelType w:val="hybridMultilevel"/>
    <w:tmpl w:val="FAD20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724FC0"/>
    <w:multiLevelType w:val="hybridMultilevel"/>
    <w:tmpl w:val="85604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43617F"/>
    <w:multiLevelType w:val="hybridMultilevel"/>
    <w:tmpl w:val="47702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4878AB"/>
    <w:multiLevelType w:val="hybridMultilevel"/>
    <w:tmpl w:val="02EA1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DF14B7"/>
    <w:multiLevelType w:val="hybridMultilevel"/>
    <w:tmpl w:val="F1AE3A18"/>
    <w:lvl w:ilvl="0" w:tplc="8F20628C">
      <w:start w:val="1"/>
      <w:numFmt w:val="lowerRoman"/>
      <w:lvlText w:val="%1."/>
      <w:lvlJc w:val="left"/>
      <w:pPr>
        <w:ind w:left="13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9" w15:restartNumberingAfterBreak="0">
    <w:nsid w:val="601420D4"/>
    <w:multiLevelType w:val="hybridMultilevel"/>
    <w:tmpl w:val="2BF0F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924778"/>
    <w:multiLevelType w:val="hybridMultilevel"/>
    <w:tmpl w:val="03DC5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FE58B4"/>
    <w:multiLevelType w:val="hybridMultilevel"/>
    <w:tmpl w:val="97B0C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54635"/>
    <w:multiLevelType w:val="hybridMultilevel"/>
    <w:tmpl w:val="68842298"/>
    <w:lvl w:ilvl="0" w:tplc="7A78DAB8">
      <w:start w:val="1"/>
      <w:numFmt w:val="decimal"/>
      <w:pStyle w:val="Heading3"/>
      <w:lvlText w:val="%1."/>
      <w:lvlJc w:val="left"/>
      <w:pPr>
        <w:ind w:left="940" w:hanging="360"/>
      </w:p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3" w15:restartNumberingAfterBreak="0">
    <w:nsid w:val="68E15581"/>
    <w:multiLevelType w:val="hybridMultilevel"/>
    <w:tmpl w:val="6B2AB42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C7065F"/>
    <w:multiLevelType w:val="hybridMultilevel"/>
    <w:tmpl w:val="369C592C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25" w15:restartNumberingAfterBreak="0">
    <w:nsid w:val="6BD7532E"/>
    <w:multiLevelType w:val="hybridMultilevel"/>
    <w:tmpl w:val="5C6E4B5E"/>
    <w:lvl w:ilvl="0" w:tplc="A8BCAFA6">
      <w:start w:val="1"/>
      <w:numFmt w:val="upperLetter"/>
      <w:pStyle w:val="Heading2"/>
      <w:lvlText w:val="%1."/>
      <w:lvlJc w:val="left"/>
      <w:pPr>
        <w:ind w:left="8100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622" w:hanging="360"/>
      </w:pPr>
    </w:lvl>
    <w:lvl w:ilvl="2" w:tplc="0409001B" w:tentative="1">
      <w:start w:val="1"/>
      <w:numFmt w:val="lowerRoman"/>
      <w:lvlText w:val="%3."/>
      <w:lvlJc w:val="right"/>
      <w:pPr>
        <w:ind w:left="2342" w:hanging="180"/>
      </w:pPr>
    </w:lvl>
    <w:lvl w:ilvl="3" w:tplc="0409000F" w:tentative="1">
      <w:start w:val="1"/>
      <w:numFmt w:val="decimal"/>
      <w:lvlText w:val="%4."/>
      <w:lvlJc w:val="left"/>
      <w:pPr>
        <w:ind w:left="3062" w:hanging="360"/>
      </w:pPr>
    </w:lvl>
    <w:lvl w:ilvl="4" w:tplc="04090019" w:tentative="1">
      <w:start w:val="1"/>
      <w:numFmt w:val="lowerLetter"/>
      <w:lvlText w:val="%5."/>
      <w:lvlJc w:val="left"/>
      <w:pPr>
        <w:ind w:left="3782" w:hanging="360"/>
      </w:pPr>
    </w:lvl>
    <w:lvl w:ilvl="5" w:tplc="0409001B" w:tentative="1">
      <w:start w:val="1"/>
      <w:numFmt w:val="lowerRoman"/>
      <w:lvlText w:val="%6."/>
      <w:lvlJc w:val="right"/>
      <w:pPr>
        <w:ind w:left="4502" w:hanging="180"/>
      </w:pPr>
    </w:lvl>
    <w:lvl w:ilvl="6" w:tplc="0409000F" w:tentative="1">
      <w:start w:val="1"/>
      <w:numFmt w:val="decimal"/>
      <w:lvlText w:val="%7."/>
      <w:lvlJc w:val="left"/>
      <w:pPr>
        <w:ind w:left="5222" w:hanging="360"/>
      </w:pPr>
    </w:lvl>
    <w:lvl w:ilvl="7" w:tplc="04090019" w:tentative="1">
      <w:start w:val="1"/>
      <w:numFmt w:val="lowerLetter"/>
      <w:lvlText w:val="%8."/>
      <w:lvlJc w:val="left"/>
      <w:pPr>
        <w:ind w:left="5942" w:hanging="360"/>
      </w:pPr>
    </w:lvl>
    <w:lvl w:ilvl="8" w:tplc="0409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26" w15:restartNumberingAfterBreak="0">
    <w:nsid w:val="7747214A"/>
    <w:multiLevelType w:val="hybridMultilevel"/>
    <w:tmpl w:val="F974604E"/>
    <w:lvl w:ilvl="0" w:tplc="FFFFFFFF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FFFFFFFF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2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1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1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304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19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092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79F03409"/>
    <w:multiLevelType w:val="hybridMultilevel"/>
    <w:tmpl w:val="B2E4819E"/>
    <w:lvl w:ilvl="0" w:tplc="34983BBE">
      <w:start w:val="1"/>
      <w:numFmt w:val="upperRoman"/>
      <w:pStyle w:val="Heading1"/>
      <w:lvlText w:val="%1."/>
      <w:lvlJc w:val="left"/>
      <w:pPr>
        <w:ind w:left="940" w:hanging="72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D63EAAC0">
      <w:start w:val="1"/>
      <w:numFmt w:val="upperLetter"/>
      <w:pStyle w:val="Definition"/>
      <w:lvlText w:val="%2."/>
      <w:lvlJc w:val="left"/>
      <w:pPr>
        <w:ind w:left="580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B78CA5A">
      <w:start w:val="1"/>
      <w:numFmt w:val="decimal"/>
      <w:lvlText w:val="%3."/>
      <w:lvlJc w:val="left"/>
      <w:pPr>
        <w:ind w:left="94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0"/>
        <w:w w:val="96"/>
        <w:sz w:val="24"/>
        <w:szCs w:val="24"/>
        <w:lang w:val="en-US" w:eastAsia="en-US" w:bidi="ar-SA"/>
      </w:rPr>
    </w:lvl>
    <w:lvl w:ilvl="3" w:tplc="93F20F74">
      <w:numFmt w:val="bullet"/>
      <w:lvlText w:val="•"/>
      <w:lvlJc w:val="left"/>
      <w:pPr>
        <w:ind w:left="2926" w:hanging="360"/>
      </w:pPr>
      <w:rPr>
        <w:rFonts w:hint="default"/>
        <w:lang w:val="en-US" w:eastAsia="en-US" w:bidi="ar-SA"/>
      </w:rPr>
    </w:lvl>
    <w:lvl w:ilvl="4" w:tplc="312CC6B0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5" w:tplc="DE260EDC">
      <w:numFmt w:val="bullet"/>
      <w:lvlText w:val="•"/>
      <w:lvlJc w:val="left"/>
      <w:pPr>
        <w:ind w:left="4913" w:hanging="360"/>
      </w:pPr>
      <w:rPr>
        <w:rFonts w:hint="default"/>
        <w:lang w:val="en-US" w:eastAsia="en-US" w:bidi="ar-SA"/>
      </w:rPr>
    </w:lvl>
    <w:lvl w:ilvl="6" w:tplc="4A5053EE">
      <w:numFmt w:val="bullet"/>
      <w:lvlText w:val="•"/>
      <w:lvlJc w:val="left"/>
      <w:pPr>
        <w:ind w:left="5906" w:hanging="360"/>
      </w:pPr>
      <w:rPr>
        <w:rFonts w:hint="default"/>
        <w:lang w:val="en-US" w:eastAsia="en-US" w:bidi="ar-SA"/>
      </w:rPr>
    </w:lvl>
    <w:lvl w:ilvl="7" w:tplc="6958CF7A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 w:tplc="38F201E6">
      <w:numFmt w:val="bullet"/>
      <w:lvlText w:val="•"/>
      <w:lvlJc w:val="left"/>
      <w:pPr>
        <w:ind w:left="7893" w:hanging="360"/>
      </w:pPr>
      <w:rPr>
        <w:rFonts w:hint="default"/>
        <w:lang w:val="en-US" w:eastAsia="en-US" w:bidi="ar-SA"/>
      </w:rPr>
    </w:lvl>
  </w:abstractNum>
  <w:num w:numId="1" w16cid:durableId="132798406">
    <w:abstractNumId w:val="2"/>
  </w:num>
  <w:num w:numId="2" w16cid:durableId="1154444887">
    <w:abstractNumId w:val="11"/>
  </w:num>
  <w:num w:numId="3" w16cid:durableId="823548405">
    <w:abstractNumId w:val="1"/>
  </w:num>
  <w:num w:numId="4" w16cid:durableId="955520911">
    <w:abstractNumId w:val="12"/>
  </w:num>
  <w:num w:numId="5" w16cid:durableId="1807235262">
    <w:abstractNumId w:val="5"/>
  </w:num>
  <w:num w:numId="6" w16cid:durableId="1858693300">
    <w:abstractNumId w:val="3"/>
  </w:num>
  <w:num w:numId="7" w16cid:durableId="128019556">
    <w:abstractNumId w:val="27"/>
  </w:num>
  <w:num w:numId="8" w16cid:durableId="952594442">
    <w:abstractNumId w:val="8"/>
  </w:num>
  <w:num w:numId="9" w16cid:durableId="1743523282">
    <w:abstractNumId w:val="24"/>
  </w:num>
  <w:num w:numId="10" w16cid:durableId="755639752">
    <w:abstractNumId w:val="4"/>
  </w:num>
  <w:num w:numId="11" w16cid:durableId="1677688141">
    <w:abstractNumId w:val="17"/>
  </w:num>
  <w:num w:numId="12" w16cid:durableId="1579943307">
    <w:abstractNumId w:val="18"/>
  </w:num>
  <w:num w:numId="13" w16cid:durableId="1766880549">
    <w:abstractNumId w:val="25"/>
  </w:num>
  <w:num w:numId="14" w16cid:durableId="776485925">
    <w:abstractNumId w:val="7"/>
  </w:num>
  <w:num w:numId="15" w16cid:durableId="779565889">
    <w:abstractNumId w:val="22"/>
  </w:num>
  <w:num w:numId="16" w16cid:durableId="1391466907">
    <w:abstractNumId w:val="22"/>
    <w:lvlOverride w:ilvl="0">
      <w:startOverride w:val="1"/>
    </w:lvlOverride>
  </w:num>
  <w:num w:numId="17" w16cid:durableId="1453330144">
    <w:abstractNumId w:val="20"/>
  </w:num>
  <w:num w:numId="18" w16cid:durableId="1535458332">
    <w:abstractNumId w:val="0"/>
  </w:num>
  <w:num w:numId="19" w16cid:durableId="1500850684">
    <w:abstractNumId w:val="21"/>
  </w:num>
  <w:num w:numId="20" w16cid:durableId="1728214949">
    <w:abstractNumId w:val="10"/>
  </w:num>
  <w:num w:numId="21" w16cid:durableId="1427388982">
    <w:abstractNumId w:val="19"/>
  </w:num>
  <w:num w:numId="22" w16cid:durableId="1186215017">
    <w:abstractNumId w:val="13"/>
  </w:num>
  <w:num w:numId="23" w16cid:durableId="1686860453">
    <w:abstractNumId w:val="6"/>
  </w:num>
  <w:num w:numId="24" w16cid:durableId="2124184985">
    <w:abstractNumId w:val="9"/>
  </w:num>
  <w:num w:numId="25" w16cid:durableId="55855583">
    <w:abstractNumId w:val="23"/>
  </w:num>
  <w:num w:numId="26" w16cid:durableId="1333996442">
    <w:abstractNumId w:val="25"/>
    <w:lvlOverride w:ilvl="0">
      <w:startOverride w:val="1"/>
    </w:lvlOverride>
  </w:num>
  <w:num w:numId="27" w16cid:durableId="1929001018">
    <w:abstractNumId w:val="14"/>
  </w:num>
  <w:num w:numId="28" w16cid:durableId="722994666">
    <w:abstractNumId w:val="25"/>
    <w:lvlOverride w:ilvl="0">
      <w:startOverride w:val="1"/>
    </w:lvlOverride>
  </w:num>
  <w:num w:numId="29" w16cid:durableId="920875030">
    <w:abstractNumId w:val="16"/>
  </w:num>
  <w:num w:numId="30" w16cid:durableId="1281836665">
    <w:abstractNumId w:val="15"/>
  </w:num>
  <w:num w:numId="31" w16cid:durableId="1210803126">
    <w:abstractNumId w:val="27"/>
    <w:lvlOverride w:ilvl="0">
      <w:startOverride w:val="1"/>
    </w:lvlOverride>
  </w:num>
  <w:num w:numId="32" w16cid:durableId="152640966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1F4"/>
    <w:rsid w:val="000044F7"/>
    <w:rsid w:val="00004F8D"/>
    <w:rsid w:val="000051EF"/>
    <w:rsid w:val="00005574"/>
    <w:rsid w:val="00012D19"/>
    <w:rsid w:val="000156A9"/>
    <w:rsid w:val="00017161"/>
    <w:rsid w:val="0002101B"/>
    <w:rsid w:val="00026E95"/>
    <w:rsid w:val="00036BB3"/>
    <w:rsid w:val="00036D8D"/>
    <w:rsid w:val="000417CA"/>
    <w:rsid w:val="000515DC"/>
    <w:rsid w:val="00057E2A"/>
    <w:rsid w:val="00062987"/>
    <w:rsid w:val="000820B0"/>
    <w:rsid w:val="0008782C"/>
    <w:rsid w:val="00093160"/>
    <w:rsid w:val="00093D34"/>
    <w:rsid w:val="00093E43"/>
    <w:rsid w:val="00095C52"/>
    <w:rsid w:val="000A481F"/>
    <w:rsid w:val="000A5408"/>
    <w:rsid w:val="000B6544"/>
    <w:rsid w:val="000C7CBC"/>
    <w:rsid w:val="000D2784"/>
    <w:rsid w:val="000D3C55"/>
    <w:rsid w:val="000D4A17"/>
    <w:rsid w:val="000E043C"/>
    <w:rsid w:val="000E0DE1"/>
    <w:rsid w:val="000E126A"/>
    <w:rsid w:val="000E1842"/>
    <w:rsid w:val="000F02DA"/>
    <w:rsid w:val="00101D18"/>
    <w:rsid w:val="00107332"/>
    <w:rsid w:val="0011043D"/>
    <w:rsid w:val="0011212C"/>
    <w:rsid w:val="00121714"/>
    <w:rsid w:val="00121D9B"/>
    <w:rsid w:val="0013291E"/>
    <w:rsid w:val="0013379C"/>
    <w:rsid w:val="001516D5"/>
    <w:rsid w:val="00154472"/>
    <w:rsid w:val="00156FF1"/>
    <w:rsid w:val="00161B45"/>
    <w:rsid w:val="00163F29"/>
    <w:rsid w:val="001726D6"/>
    <w:rsid w:val="00172CDA"/>
    <w:rsid w:val="001757D4"/>
    <w:rsid w:val="00177E3C"/>
    <w:rsid w:val="00180A4D"/>
    <w:rsid w:val="00181CA0"/>
    <w:rsid w:val="00187183"/>
    <w:rsid w:val="001928B3"/>
    <w:rsid w:val="00192EA7"/>
    <w:rsid w:val="001A1B11"/>
    <w:rsid w:val="001A1EA7"/>
    <w:rsid w:val="001A7FE7"/>
    <w:rsid w:val="001B7A2D"/>
    <w:rsid w:val="001C3268"/>
    <w:rsid w:val="001C602F"/>
    <w:rsid w:val="001D3BAA"/>
    <w:rsid w:val="001E7B11"/>
    <w:rsid w:val="001F045C"/>
    <w:rsid w:val="001F04DD"/>
    <w:rsid w:val="001F3E6A"/>
    <w:rsid w:val="001F3FBE"/>
    <w:rsid w:val="001F43BC"/>
    <w:rsid w:val="001F5DD7"/>
    <w:rsid w:val="0020551F"/>
    <w:rsid w:val="00205976"/>
    <w:rsid w:val="002132BB"/>
    <w:rsid w:val="00225E75"/>
    <w:rsid w:val="002327A9"/>
    <w:rsid w:val="002354E7"/>
    <w:rsid w:val="00236211"/>
    <w:rsid w:val="00236EA2"/>
    <w:rsid w:val="00237D70"/>
    <w:rsid w:val="00246A34"/>
    <w:rsid w:val="0024703B"/>
    <w:rsid w:val="002535FE"/>
    <w:rsid w:val="00260357"/>
    <w:rsid w:val="00274751"/>
    <w:rsid w:val="00276858"/>
    <w:rsid w:val="00277426"/>
    <w:rsid w:val="0029091A"/>
    <w:rsid w:val="00290A39"/>
    <w:rsid w:val="00291458"/>
    <w:rsid w:val="00292A10"/>
    <w:rsid w:val="002976CC"/>
    <w:rsid w:val="002B2456"/>
    <w:rsid w:val="002B3D00"/>
    <w:rsid w:val="002B5366"/>
    <w:rsid w:val="002B5423"/>
    <w:rsid w:val="002C04EA"/>
    <w:rsid w:val="002D4C93"/>
    <w:rsid w:val="002D4D53"/>
    <w:rsid w:val="002D4EC3"/>
    <w:rsid w:val="002D6427"/>
    <w:rsid w:val="002E01A9"/>
    <w:rsid w:val="002E3629"/>
    <w:rsid w:val="002E36FD"/>
    <w:rsid w:val="002F1427"/>
    <w:rsid w:val="002F3C62"/>
    <w:rsid w:val="002F4F31"/>
    <w:rsid w:val="002F70D7"/>
    <w:rsid w:val="00300F24"/>
    <w:rsid w:val="003058F4"/>
    <w:rsid w:val="00305FF7"/>
    <w:rsid w:val="00311C04"/>
    <w:rsid w:val="00313B80"/>
    <w:rsid w:val="00320596"/>
    <w:rsid w:val="00324439"/>
    <w:rsid w:val="00324BA3"/>
    <w:rsid w:val="003271F9"/>
    <w:rsid w:val="00340322"/>
    <w:rsid w:val="00340ED4"/>
    <w:rsid w:val="003559E8"/>
    <w:rsid w:val="00356059"/>
    <w:rsid w:val="003579EC"/>
    <w:rsid w:val="00366599"/>
    <w:rsid w:val="00371254"/>
    <w:rsid w:val="003720FB"/>
    <w:rsid w:val="003746B5"/>
    <w:rsid w:val="0037702B"/>
    <w:rsid w:val="003942DF"/>
    <w:rsid w:val="003A3C86"/>
    <w:rsid w:val="003A45B3"/>
    <w:rsid w:val="003B6056"/>
    <w:rsid w:val="003C39DD"/>
    <w:rsid w:val="003C4EDC"/>
    <w:rsid w:val="003C5226"/>
    <w:rsid w:val="003C68DF"/>
    <w:rsid w:val="003D1645"/>
    <w:rsid w:val="003D45B7"/>
    <w:rsid w:val="003D6224"/>
    <w:rsid w:val="003E3713"/>
    <w:rsid w:val="003E4C5B"/>
    <w:rsid w:val="003F2E4A"/>
    <w:rsid w:val="003F4093"/>
    <w:rsid w:val="003F5DF2"/>
    <w:rsid w:val="003F64DA"/>
    <w:rsid w:val="004040AF"/>
    <w:rsid w:val="004134E8"/>
    <w:rsid w:val="00417957"/>
    <w:rsid w:val="00420D64"/>
    <w:rsid w:val="00421D9D"/>
    <w:rsid w:val="00432154"/>
    <w:rsid w:val="0043359B"/>
    <w:rsid w:val="0043441A"/>
    <w:rsid w:val="0043573B"/>
    <w:rsid w:val="0044273D"/>
    <w:rsid w:val="004439A0"/>
    <w:rsid w:val="00444096"/>
    <w:rsid w:val="00444F41"/>
    <w:rsid w:val="00453DF1"/>
    <w:rsid w:val="0045480C"/>
    <w:rsid w:val="00465FE0"/>
    <w:rsid w:val="00466F5A"/>
    <w:rsid w:val="00467F24"/>
    <w:rsid w:val="00472B8A"/>
    <w:rsid w:val="00481277"/>
    <w:rsid w:val="0048422E"/>
    <w:rsid w:val="004901FB"/>
    <w:rsid w:val="004928FC"/>
    <w:rsid w:val="00495E76"/>
    <w:rsid w:val="004A594F"/>
    <w:rsid w:val="004B0D4C"/>
    <w:rsid w:val="004B37F2"/>
    <w:rsid w:val="004B490B"/>
    <w:rsid w:val="004B5559"/>
    <w:rsid w:val="004C3878"/>
    <w:rsid w:val="004C67C7"/>
    <w:rsid w:val="004C6D59"/>
    <w:rsid w:val="004C7D16"/>
    <w:rsid w:val="004D2131"/>
    <w:rsid w:val="004D40AB"/>
    <w:rsid w:val="004E1AEC"/>
    <w:rsid w:val="004F4A07"/>
    <w:rsid w:val="004F6FF1"/>
    <w:rsid w:val="004F75B9"/>
    <w:rsid w:val="005001B7"/>
    <w:rsid w:val="0050186D"/>
    <w:rsid w:val="00503571"/>
    <w:rsid w:val="00503BB0"/>
    <w:rsid w:val="0050712E"/>
    <w:rsid w:val="00516E3C"/>
    <w:rsid w:val="005174F4"/>
    <w:rsid w:val="00522001"/>
    <w:rsid w:val="00536608"/>
    <w:rsid w:val="00544E0A"/>
    <w:rsid w:val="00546019"/>
    <w:rsid w:val="0054630E"/>
    <w:rsid w:val="00547542"/>
    <w:rsid w:val="00553F04"/>
    <w:rsid w:val="00557029"/>
    <w:rsid w:val="0056050F"/>
    <w:rsid w:val="00565B2A"/>
    <w:rsid w:val="00567DC6"/>
    <w:rsid w:val="00582EDC"/>
    <w:rsid w:val="0058490B"/>
    <w:rsid w:val="005856EC"/>
    <w:rsid w:val="00585EB5"/>
    <w:rsid w:val="0059552B"/>
    <w:rsid w:val="005A053C"/>
    <w:rsid w:val="005A41F5"/>
    <w:rsid w:val="005B13FA"/>
    <w:rsid w:val="005D16B6"/>
    <w:rsid w:val="005D35B6"/>
    <w:rsid w:val="005D4B12"/>
    <w:rsid w:val="005E0A1E"/>
    <w:rsid w:val="005E2F60"/>
    <w:rsid w:val="005E3B99"/>
    <w:rsid w:val="005F1C3B"/>
    <w:rsid w:val="005F2461"/>
    <w:rsid w:val="005F3F8D"/>
    <w:rsid w:val="006021F4"/>
    <w:rsid w:val="0060711C"/>
    <w:rsid w:val="006146F6"/>
    <w:rsid w:val="00622DC6"/>
    <w:rsid w:val="00653D1F"/>
    <w:rsid w:val="00656021"/>
    <w:rsid w:val="00662047"/>
    <w:rsid w:val="006625A4"/>
    <w:rsid w:val="006630FF"/>
    <w:rsid w:val="00666F35"/>
    <w:rsid w:val="0067501C"/>
    <w:rsid w:val="0067574F"/>
    <w:rsid w:val="006806F1"/>
    <w:rsid w:val="00686CCF"/>
    <w:rsid w:val="0068721D"/>
    <w:rsid w:val="00690FEE"/>
    <w:rsid w:val="006A0B30"/>
    <w:rsid w:val="006B2D4C"/>
    <w:rsid w:val="006B3110"/>
    <w:rsid w:val="006B318B"/>
    <w:rsid w:val="006D3986"/>
    <w:rsid w:val="006D3A17"/>
    <w:rsid w:val="006D4B85"/>
    <w:rsid w:val="006D4CA7"/>
    <w:rsid w:val="006E309A"/>
    <w:rsid w:val="006E336A"/>
    <w:rsid w:val="006F35FD"/>
    <w:rsid w:val="00712ADA"/>
    <w:rsid w:val="0071343B"/>
    <w:rsid w:val="00713DCD"/>
    <w:rsid w:val="0071652C"/>
    <w:rsid w:val="007202FB"/>
    <w:rsid w:val="00723CB9"/>
    <w:rsid w:val="0073343D"/>
    <w:rsid w:val="00735C53"/>
    <w:rsid w:val="00736DE4"/>
    <w:rsid w:val="0075275C"/>
    <w:rsid w:val="00753343"/>
    <w:rsid w:val="00754EF9"/>
    <w:rsid w:val="0075532B"/>
    <w:rsid w:val="007576D7"/>
    <w:rsid w:val="00757989"/>
    <w:rsid w:val="00762A18"/>
    <w:rsid w:val="00762B78"/>
    <w:rsid w:val="00763308"/>
    <w:rsid w:val="0076355D"/>
    <w:rsid w:val="007705AD"/>
    <w:rsid w:val="00774B30"/>
    <w:rsid w:val="007816D0"/>
    <w:rsid w:val="00787299"/>
    <w:rsid w:val="00797CC8"/>
    <w:rsid w:val="007A6364"/>
    <w:rsid w:val="007A640E"/>
    <w:rsid w:val="007B1480"/>
    <w:rsid w:val="007B691A"/>
    <w:rsid w:val="007C00AC"/>
    <w:rsid w:val="007C3E67"/>
    <w:rsid w:val="007C4F82"/>
    <w:rsid w:val="007C6BB4"/>
    <w:rsid w:val="007D12E6"/>
    <w:rsid w:val="007D3184"/>
    <w:rsid w:val="007D6735"/>
    <w:rsid w:val="007E5C0F"/>
    <w:rsid w:val="007E6AB0"/>
    <w:rsid w:val="007F289F"/>
    <w:rsid w:val="00805A94"/>
    <w:rsid w:val="008119DA"/>
    <w:rsid w:val="008177A6"/>
    <w:rsid w:val="008304E1"/>
    <w:rsid w:val="00836066"/>
    <w:rsid w:val="00836A67"/>
    <w:rsid w:val="00837C10"/>
    <w:rsid w:val="00847B1B"/>
    <w:rsid w:val="00850567"/>
    <w:rsid w:val="008507E2"/>
    <w:rsid w:val="00860BDD"/>
    <w:rsid w:val="008624E4"/>
    <w:rsid w:val="00865C97"/>
    <w:rsid w:val="008660EC"/>
    <w:rsid w:val="00870F39"/>
    <w:rsid w:val="008733EF"/>
    <w:rsid w:val="00873AE6"/>
    <w:rsid w:val="0087760E"/>
    <w:rsid w:val="0089728F"/>
    <w:rsid w:val="008A0C1E"/>
    <w:rsid w:val="008A7811"/>
    <w:rsid w:val="008C29A2"/>
    <w:rsid w:val="008C3AD8"/>
    <w:rsid w:val="008C4296"/>
    <w:rsid w:val="008C4F99"/>
    <w:rsid w:val="008D349E"/>
    <w:rsid w:val="008F438C"/>
    <w:rsid w:val="008F5086"/>
    <w:rsid w:val="009025BC"/>
    <w:rsid w:val="00902ABB"/>
    <w:rsid w:val="00903365"/>
    <w:rsid w:val="00904091"/>
    <w:rsid w:val="00904662"/>
    <w:rsid w:val="00911E2D"/>
    <w:rsid w:val="009141C6"/>
    <w:rsid w:val="009163B8"/>
    <w:rsid w:val="009249BF"/>
    <w:rsid w:val="00927B68"/>
    <w:rsid w:val="00935C58"/>
    <w:rsid w:val="00943D0C"/>
    <w:rsid w:val="00950703"/>
    <w:rsid w:val="009529E3"/>
    <w:rsid w:val="0097155D"/>
    <w:rsid w:val="00971832"/>
    <w:rsid w:val="009955D3"/>
    <w:rsid w:val="00995C86"/>
    <w:rsid w:val="00996006"/>
    <w:rsid w:val="009A3B10"/>
    <w:rsid w:val="009A5F28"/>
    <w:rsid w:val="009B4832"/>
    <w:rsid w:val="009C14A6"/>
    <w:rsid w:val="009C7128"/>
    <w:rsid w:val="009C73D2"/>
    <w:rsid w:val="009D1E22"/>
    <w:rsid w:val="009D23D8"/>
    <w:rsid w:val="009D3138"/>
    <w:rsid w:val="009E04FE"/>
    <w:rsid w:val="009E07CA"/>
    <w:rsid w:val="009E396D"/>
    <w:rsid w:val="009F1F32"/>
    <w:rsid w:val="00A01A2F"/>
    <w:rsid w:val="00A14C49"/>
    <w:rsid w:val="00A176C6"/>
    <w:rsid w:val="00A20534"/>
    <w:rsid w:val="00A271A7"/>
    <w:rsid w:val="00A41028"/>
    <w:rsid w:val="00A61D82"/>
    <w:rsid w:val="00A64DDB"/>
    <w:rsid w:val="00A66CB8"/>
    <w:rsid w:val="00A708E0"/>
    <w:rsid w:val="00A8724B"/>
    <w:rsid w:val="00A93A6C"/>
    <w:rsid w:val="00A96F17"/>
    <w:rsid w:val="00A97826"/>
    <w:rsid w:val="00AA0E18"/>
    <w:rsid w:val="00AA17C8"/>
    <w:rsid w:val="00AA26B3"/>
    <w:rsid w:val="00AA3308"/>
    <w:rsid w:val="00AA38A4"/>
    <w:rsid w:val="00AA5A29"/>
    <w:rsid w:val="00AA78A3"/>
    <w:rsid w:val="00AB0106"/>
    <w:rsid w:val="00AB20CD"/>
    <w:rsid w:val="00AB48DA"/>
    <w:rsid w:val="00AC02A6"/>
    <w:rsid w:val="00AC37AE"/>
    <w:rsid w:val="00AD2902"/>
    <w:rsid w:val="00AD7B17"/>
    <w:rsid w:val="00AE0B47"/>
    <w:rsid w:val="00AE47C0"/>
    <w:rsid w:val="00AF33B8"/>
    <w:rsid w:val="00AF4911"/>
    <w:rsid w:val="00AF668D"/>
    <w:rsid w:val="00AF66CA"/>
    <w:rsid w:val="00B1044A"/>
    <w:rsid w:val="00B126E7"/>
    <w:rsid w:val="00B14C1C"/>
    <w:rsid w:val="00B232DD"/>
    <w:rsid w:val="00B23F63"/>
    <w:rsid w:val="00B248A6"/>
    <w:rsid w:val="00B26818"/>
    <w:rsid w:val="00B275F9"/>
    <w:rsid w:val="00B31C19"/>
    <w:rsid w:val="00B32D10"/>
    <w:rsid w:val="00B341FA"/>
    <w:rsid w:val="00B458AC"/>
    <w:rsid w:val="00B546A8"/>
    <w:rsid w:val="00B6334B"/>
    <w:rsid w:val="00B6618F"/>
    <w:rsid w:val="00B723CD"/>
    <w:rsid w:val="00B7341E"/>
    <w:rsid w:val="00B77DA7"/>
    <w:rsid w:val="00B804A4"/>
    <w:rsid w:val="00B813BC"/>
    <w:rsid w:val="00B826DC"/>
    <w:rsid w:val="00B92880"/>
    <w:rsid w:val="00B96B22"/>
    <w:rsid w:val="00BA44F5"/>
    <w:rsid w:val="00BA4BA8"/>
    <w:rsid w:val="00BB2B02"/>
    <w:rsid w:val="00BC2E2D"/>
    <w:rsid w:val="00BC50FA"/>
    <w:rsid w:val="00BD77C8"/>
    <w:rsid w:val="00BE5741"/>
    <w:rsid w:val="00BE7290"/>
    <w:rsid w:val="00BF144F"/>
    <w:rsid w:val="00BF78B5"/>
    <w:rsid w:val="00C01A5A"/>
    <w:rsid w:val="00C05006"/>
    <w:rsid w:val="00C07EFC"/>
    <w:rsid w:val="00C13FA2"/>
    <w:rsid w:val="00C1462E"/>
    <w:rsid w:val="00C20494"/>
    <w:rsid w:val="00C20548"/>
    <w:rsid w:val="00C20BF8"/>
    <w:rsid w:val="00C30243"/>
    <w:rsid w:val="00C36873"/>
    <w:rsid w:val="00C407A7"/>
    <w:rsid w:val="00C407CE"/>
    <w:rsid w:val="00C44822"/>
    <w:rsid w:val="00C44BAA"/>
    <w:rsid w:val="00C522E5"/>
    <w:rsid w:val="00C52FEC"/>
    <w:rsid w:val="00C545B6"/>
    <w:rsid w:val="00C6146B"/>
    <w:rsid w:val="00C61B58"/>
    <w:rsid w:val="00C81DD5"/>
    <w:rsid w:val="00CB4DD7"/>
    <w:rsid w:val="00CB5184"/>
    <w:rsid w:val="00CC2BA1"/>
    <w:rsid w:val="00CD0347"/>
    <w:rsid w:val="00CD40CF"/>
    <w:rsid w:val="00CF20EF"/>
    <w:rsid w:val="00D05C9F"/>
    <w:rsid w:val="00D11852"/>
    <w:rsid w:val="00D11BA1"/>
    <w:rsid w:val="00D32BD8"/>
    <w:rsid w:val="00D32F77"/>
    <w:rsid w:val="00D43F14"/>
    <w:rsid w:val="00D47F53"/>
    <w:rsid w:val="00D5393F"/>
    <w:rsid w:val="00D65241"/>
    <w:rsid w:val="00D728CC"/>
    <w:rsid w:val="00D943E6"/>
    <w:rsid w:val="00D95B81"/>
    <w:rsid w:val="00DA4081"/>
    <w:rsid w:val="00DB492E"/>
    <w:rsid w:val="00DB4ACD"/>
    <w:rsid w:val="00DB5BA2"/>
    <w:rsid w:val="00DC25E8"/>
    <w:rsid w:val="00DD2B17"/>
    <w:rsid w:val="00DE4500"/>
    <w:rsid w:val="00DF5FD1"/>
    <w:rsid w:val="00DF6016"/>
    <w:rsid w:val="00DF64E8"/>
    <w:rsid w:val="00DF714A"/>
    <w:rsid w:val="00E02B65"/>
    <w:rsid w:val="00E03BE9"/>
    <w:rsid w:val="00E04A35"/>
    <w:rsid w:val="00E05FB2"/>
    <w:rsid w:val="00E06874"/>
    <w:rsid w:val="00E10926"/>
    <w:rsid w:val="00E1110E"/>
    <w:rsid w:val="00E21129"/>
    <w:rsid w:val="00E51F0E"/>
    <w:rsid w:val="00E53632"/>
    <w:rsid w:val="00E55D20"/>
    <w:rsid w:val="00E571E4"/>
    <w:rsid w:val="00E63FBE"/>
    <w:rsid w:val="00E70EF6"/>
    <w:rsid w:val="00E71010"/>
    <w:rsid w:val="00E72B81"/>
    <w:rsid w:val="00E73DC9"/>
    <w:rsid w:val="00E75FAC"/>
    <w:rsid w:val="00E84113"/>
    <w:rsid w:val="00E86BC1"/>
    <w:rsid w:val="00E9400E"/>
    <w:rsid w:val="00E97048"/>
    <w:rsid w:val="00E9710D"/>
    <w:rsid w:val="00EA56DE"/>
    <w:rsid w:val="00EA759B"/>
    <w:rsid w:val="00EB047B"/>
    <w:rsid w:val="00EB72B8"/>
    <w:rsid w:val="00EC2AD1"/>
    <w:rsid w:val="00ED364E"/>
    <w:rsid w:val="00ED3655"/>
    <w:rsid w:val="00ED5172"/>
    <w:rsid w:val="00ED6102"/>
    <w:rsid w:val="00ED61A1"/>
    <w:rsid w:val="00EE0784"/>
    <w:rsid w:val="00EE55B0"/>
    <w:rsid w:val="00EE68B9"/>
    <w:rsid w:val="00EF03BF"/>
    <w:rsid w:val="00EF1EAE"/>
    <w:rsid w:val="00F038FD"/>
    <w:rsid w:val="00F06A5D"/>
    <w:rsid w:val="00F07553"/>
    <w:rsid w:val="00F12EBA"/>
    <w:rsid w:val="00F25627"/>
    <w:rsid w:val="00F27BA3"/>
    <w:rsid w:val="00F32119"/>
    <w:rsid w:val="00F33E36"/>
    <w:rsid w:val="00F400F9"/>
    <w:rsid w:val="00F45AC5"/>
    <w:rsid w:val="00F61BF4"/>
    <w:rsid w:val="00F63E35"/>
    <w:rsid w:val="00F64DBD"/>
    <w:rsid w:val="00F67A82"/>
    <w:rsid w:val="00F7758E"/>
    <w:rsid w:val="00F833A7"/>
    <w:rsid w:val="00FA2157"/>
    <w:rsid w:val="00FA589C"/>
    <w:rsid w:val="00FA60E1"/>
    <w:rsid w:val="00FA63A3"/>
    <w:rsid w:val="00FB08A4"/>
    <w:rsid w:val="00FB1F1D"/>
    <w:rsid w:val="00FB204C"/>
    <w:rsid w:val="00FB2453"/>
    <w:rsid w:val="00FB5043"/>
    <w:rsid w:val="00FB51FE"/>
    <w:rsid w:val="00FC7837"/>
    <w:rsid w:val="00FD0E7A"/>
    <w:rsid w:val="00FD1FE5"/>
    <w:rsid w:val="00FD2E17"/>
    <w:rsid w:val="00FD4992"/>
    <w:rsid w:val="00FE6D14"/>
    <w:rsid w:val="00FE73C7"/>
    <w:rsid w:val="00FF093A"/>
    <w:rsid w:val="00FF1A1F"/>
    <w:rsid w:val="00FF5F28"/>
    <w:rsid w:val="00FF6664"/>
    <w:rsid w:val="00FF6D14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678879"/>
  <w15:docId w15:val="{94D06DEF-D62B-474C-96F0-471898BA8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91A"/>
    <w:rPr>
      <w:rFonts w:ascii="Arial" w:eastAsia="Arial" w:hAnsi="Arial" w:cs="Arial"/>
      <w:sz w:val="24"/>
    </w:rPr>
  </w:style>
  <w:style w:type="paragraph" w:styleId="Heading1">
    <w:name w:val="heading 1"/>
    <w:basedOn w:val="Normal"/>
    <w:uiPriority w:val="9"/>
    <w:qFormat/>
    <w:rsid w:val="007C4F82"/>
    <w:pPr>
      <w:widowControl/>
      <w:numPr>
        <w:numId w:val="7"/>
      </w:numPr>
      <w:pBdr>
        <w:top w:val="single" w:sz="4" w:space="1" w:color="8DB3E2"/>
        <w:bottom w:val="single" w:sz="4" w:space="1" w:color="8DB3E2"/>
      </w:pBdr>
      <w:tabs>
        <w:tab w:val="left" w:pos="939"/>
      </w:tabs>
      <w:spacing w:before="20" w:after="20"/>
      <w:ind w:left="720" w:hanging="7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rsid w:val="0029091A"/>
    <w:pPr>
      <w:numPr>
        <w:numId w:val="13"/>
      </w:numPr>
      <w:spacing w:before="120" w:after="120"/>
      <w:ind w:left="720" w:hanging="720"/>
      <w:outlineLvl w:val="1"/>
    </w:pPr>
    <w:rPr>
      <w:b/>
      <w:bCs/>
      <w:szCs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29091A"/>
    <w:pPr>
      <w:widowControl/>
      <w:numPr>
        <w:numId w:val="15"/>
      </w:numPr>
      <w:spacing w:before="120" w:after="120"/>
      <w:ind w:left="1080"/>
      <w:outlineLvl w:val="2"/>
    </w:pPr>
    <w:rPr>
      <w:rFonts w:ascii="Arial" w:eastAsia="Arial" w:hAnsi="Arial" w:cs="Arial"/>
      <w:b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line="229" w:lineRule="exact"/>
      <w:ind w:left="756" w:hanging="532"/>
    </w:pPr>
    <w:rPr>
      <w:b/>
      <w:bCs/>
      <w:sz w:val="20"/>
      <w:szCs w:val="20"/>
    </w:rPr>
  </w:style>
  <w:style w:type="paragraph" w:styleId="TOC2">
    <w:name w:val="toc 2"/>
    <w:basedOn w:val="Normal"/>
    <w:uiPriority w:val="1"/>
    <w:qFormat/>
    <w:pPr>
      <w:spacing w:before="1"/>
      <w:ind w:left="758" w:hanging="423"/>
    </w:pPr>
    <w:rPr>
      <w:b/>
      <w:bCs/>
      <w:sz w:val="20"/>
      <w:szCs w:val="20"/>
    </w:rPr>
  </w:style>
  <w:style w:type="paragraph" w:styleId="TOC3">
    <w:name w:val="toc 3"/>
    <w:basedOn w:val="Normal"/>
    <w:uiPriority w:val="1"/>
    <w:qFormat/>
    <w:pPr>
      <w:ind w:left="757" w:hanging="368"/>
    </w:pPr>
    <w:rPr>
      <w:b/>
      <w:bCs/>
      <w:sz w:val="20"/>
      <w:szCs w:val="20"/>
    </w:rPr>
  </w:style>
  <w:style w:type="paragraph" w:styleId="TOC4">
    <w:name w:val="toc 4"/>
    <w:basedOn w:val="Normal"/>
    <w:uiPriority w:val="1"/>
    <w:qFormat/>
    <w:pPr>
      <w:spacing w:before="149" w:line="229" w:lineRule="exact"/>
      <w:ind w:left="758" w:hanging="289"/>
    </w:pPr>
    <w:rPr>
      <w:b/>
      <w:bCs/>
      <w:sz w:val="20"/>
      <w:szCs w:val="20"/>
    </w:rPr>
  </w:style>
  <w:style w:type="paragraph" w:styleId="BodyText">
    <w:name w:val="Body Text"/>
    <w:basedOn w:val="Normal"/>
    <w:uiPriority w:val="1"/>
    <w:qFormat/>
    <w:pPr>
      <w:spacing w:before="120"/>
    </w:pPr>
    <w:rPr>
      <w:szCs w:val="24"/>
    </w:rPr>
  </w:style>
  <w:style w:type="paragraph" w:styleId="Title">
    <w:name w:val="Title"/>
    <w:basedOn w:val="Normal"/>
    <w:uiPriority w:val="10"/>
    <w:qFormat/>
    <w:pPr>
      <w:spacing w:before="393"/>
      <w:ind w:left="220"/>
    </w:pPr>
    <w:rPr>
      <w:sz w:val="40"/>
      <w:szCs w:val="40"/>
    </w:rPr>
  </w:style>
  <w:style w:type="paragraph" w:styleId="ListParagraph">
    <w:name w:val="List Paragraph"/>
    <w:basedOn w:val="Normal"/>
    <w:link w:val="ListParagraphChar"/>
    <w:uiPriority w:val="1"/>
    <w:qFormat/>
    <w:pPr>
      <w:spacing w:before="120"/>
      <w:ind w:left="9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uiPriority w:val="99"/>
    <w:semiHidden/>
    <w:unhideWhenUsed/>
    <w:rsid w:val="004B0D4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0D4C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0D4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B0D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0D4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B0D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0D4C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EF1EAE"/>
    <w:pPr>
      <w:widowControl/>
      <w:autoSpaceDE/>
      <w:autoSpaceDN/>
    </w:pPr>
    <w:rPr>
      <w:rFonts w:ascii="Arial" w:eastAsia="Arial" w:hAnsi="Arial" w:cs="Arial"/>
    </w:rPr>
  </w:style>
  <w:style w:type="paragraph" w:customStyle="1" w:styleId="Definition">
    <w:name w:val="Definition"/>
    <w:basedOn w:val="Normal"/>
    <w:next w:val="DefinitionText"/>
    <w:link w:val="DefinitionChar"/>
    <w:qFormat/>
    <w:rsid w:val="003C4EDC"/>
    <w:pPr>
      <w:widowControl/>
      <w:numPr>
        <w:ilvl w:val="1"/>
        <w:numId w:val="7"/>
      </w:numPr>
      <w:spacing w:before="120" w:after="120" w:line="259" w:lineRule="auto"/>
      <w:ind w:left="720" w:hanging="720"/>
      <w:outlineLvl w:val="1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B96B22"/>
    <w:rPr>
      <w:rFonts w:ascii="Arial" w:eastAsia="Arial" w:hAnsi="Arial" w:cs="Arial"/>
    </w:rPr>
  </w:style>
  <w:style w:type="character" w:customStyle="1" w:styleId="DefinitionChar">
    <w:name w:val="Definition Char"/>
    <w:basedOn w:val="ListParagraphChar"/>
    <w:link w:val="Definition"/>
    <w:rsid w:val="003C4EDC"/>
    <w:rPr>
      <w:rFonts w:ascii="Arial" w:eastAsia="Arial" w:hAnsi="Arial" w:cs="Arial"/>
      <w:b/>
      <w:sz w:val="24"/>
    </w:rPr>
  </w:style>
  <w:style w:type="paragraph" w:customStyle="1" w:styleId="DefinitionText">
    <w:name w:val="Definition Text"/>
    <w:basedOn w:val="ListParagraph"/>
    <w:link w:val="DefinitionTextChar"/>
    <w:qFormat/>
    <w:rsid w:val="003C4EDC"/>
    <w:pPr>
      <w:widowControl/>
      <w:spacing w:before="0" w:line="259" w:lineRule="auto"/>
      <w:ind w:left="0" w:firstLine="0"/>
    </w:pPr>
  </w:style>
  <w:style w:type="character" w:customStyle="1" w:styleId="DefinitionTextChar">
    <w:name w:val="Definition Text Char"/>
    <w:basedOn w:val="ListParagraphChar"/>
    <w:link w:val="DefinitionText"/>
    <w:rsid w:val="003C4EDC"/>
    <w:rPr>
      <w:rFonts w:ascii="Arial" w:eastAsia="Arial" w:hAnsi="Arial" w:cs="Arial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9091A"/>
    <w:rPr>
      <w:rFonts w:ascii="Arial" w:eastAsia="Arial" w:hAnsi="Arial" w:cs="Arial"/>
      <w:b/>
      <w:sz w:val="24"/>
      <w:szCs w:val="28"/>
    </w:rPr>
  </w:style>
  <w:style w:type="character" w:styleId="Hyperlink">
    <w:name w:val="Hyperlink"/>
    <w:basedOn w:val="DefaultParagraphFont"/>
    <w:uiPriority w:val="99"/>
    <w:unhideWhenUsed/>
    <w:rsid w:val="003C4ED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4ED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757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57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57D4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7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7D4"/>
    <w:rPr>
      <w:rFonts w:ascii="Arial" w:eastAsia="Arial" w:hAnsi="Arial" w:cs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B53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hitehouse.gov/wp-content/uploads/2024/05/USG-Policy-for-Oversight-of-DURC-and-PEPP.pdf" TargetMode="External"/><Relationship Id="rId18" Type="http://schemas.openxmlformats.org/officeDocument/2006/relationships/hyperlink" Target="https://www.whitehouse.gov/wp-content/uploads/2024/05/USG-Policy-for-Oversight-of-DURC-and-PEPP.pdf" TargetMode="External"/><Relationship Id="rId26" Type="http://schemas.openxmlformats.org/officeDocument/2006/relationships/hyperlink" Target="https://policy.ucop.edu/doc/4010578/PPSM-II-64" TargetMode="External"/><Relationship Id="rId21" Type="http://schemas.openxmlformats.org/officeDocument/2006/relationships/hyperlink" Target="https://www.ucop.edu/academic-personnel-programs/_files/apm/apm-016.pdf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whitehouse.gov/wp-content/uploads/2024/05/USG-DURC-PEPP-Implementation-Guidance.pdf" TargetMode="External"/><Relationship Id="rId17" Type="http://schemas.openxmlformats.org/officeDocument/2006/relationships/hyperlink" Target="https://www.whitehouse.gov/wp-content/uploads/2024/05/USG-DURC-PEPP-Implementation-Guidance.pdf" TargetMode="External"/><Relationship Id="rId25" Type="http://schemas.openxmlformats.org/officeDocument/2006/relationships/hyperlink" Target="https://policy.ucop.edu/doc/4010413/PPSM-64" TargetMode="External"/><Relationship Id="rId33" Type="http://schemas.openxmlformats.org/officeDocument/2006/relationships/hyperlink" Target="https://policy.ucop.edu/doc/2500499/ProtectHumanSubjec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whitehouse.gov/wp-content/uploads/2024/05/USG-Policy-for-Oversight-of-DURC-and-PEPP.pdf" TargetMode="External"/><Relationship Id="rId20" Type="http://schemas.openxmlformats.org/officeDocument/2006/relationships/hyperlink" Target="https://www.ucop.edu/academic-personnel-programs/_files/apm/apm-015.pdf" TargetMode="External"/><Relationship Id="rId29" Type="http://schemas.openxmlformats.org/officeDocument/2006/relationships/hyperlink" Target="https://www.whitehouse.gov/wp-content/uploads/2024/05/USG-Policy-for-Oversight-of-DURC-and-PEPP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hitehouse.gov/wp-content/uploads/2024/05/USG-Policy-for-Oversight-of-DURC-and-PEPP.pdf" TargetMode="External"/><Relationship Id="rId24" Type="http://schemas.openxmlformats.org/officeDocument/2006/relationships/hyperlink" Target="https://policy.ucop.edu/doc/4010412/PPSM-63" TargetMode="External"/><Relationship Id="rId32" Type="http://schemas.openxmlformats.org/officeDocument/2006/relationships/hyperlink" Target="https://policy.ucop.edu/doc/2500494/AnimalUse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whitehouse.gov/wp-content/uploads/2024/05/USG-DURC-PEPP-Implementation-Guidance.pdf" TargetMode="External"/><Relationship Id="rId23" Type="http://schemas.openxmlformats.org/officeDocument/2006/relationships/hyperlink" Target="https://policy.ucop.edu/doc/4010411/PPSM-62" TargetMode="External"/><Relationship Id="rId28" Type="http://schemas.openxmlformats.org/officeDocument/2006/relationships/hyperlink" Target="https://www.whitehouse.gov/wp-content/uploads/2024/05/USG-DURC-PEPP-Implementation-Guidance.pdf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ken.smith@ucop.edu" TargetMode="External"/><Relationship Id="rId19" Type="http://schemas.openxmlformats.org/officeDocument/2006/relationships/hyperlink" Target="https://www.whitehouse.gov/wp-content/uploads/2024/05/USG-DURC-PEPP-Implementation-Guidance.pdf" TargetMode="External"/><Relationship Id="rId31" Type="http://schemas.openxmlformats.org/officeDocument/2006/relationships/hyperlink" Target="https://policy.ucop.edu/doc/2000676/ExportContro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borah.Motton@ucop.edu" TargetMode="External"/><Relationship Id="rId14" Type="http://schemas.openxmlformats.org/officeDocument/2006/relationships/hyperlink" Target="https://www.whitehouse.gov/wp-content/uploads/2024/05/USG-Policy-for-Oversight-of-DURC-and-PEPP.pdf" TargetMode="External"/><Relationship Id="rId22" Type="http://schemas.openxmlformats.org/officeDocument/2006/relationships/hyperlink" Target="https://www.ucop.edu/academic-personnel-programs/_files/apm/apm-150.pdf" TargetMode="External"/><Relationship Id="rId27" Type="http://schemas.openxmlformats.org/officeDocument/2006/relationships/hyperlink" Target="https://www.whitehouse.gov/wp-content/uploads/2024/05/USG-Policy-for-Oversight-of-DURC-and-PEPP.pdf" TargetMode="External"/><Relationship Id="rId30" Type="http://schemas.openxmlformats.org/officeDocument/2006/relationships/hyperlink" Target="https://www.whitehouse.gov/wp-content/uploads/2024/05/USG-DURC-PEPP-Implementation-Guidance.pdf" TargetMode="External"/><Relationship Id="rId35" Type="http://schemas.openxmlformats.org/officeDocument/2006/relationships/footer" Target="footer1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itehouse.gov/wp-content/uploads/2024/05/USG-Policy-for-Oversight-of-DURC-and-PEPP.pdf" TargetMode="External"/><Relationship Id="rId3" Type="http://schemas.openxmlformats.org/officeDocument/2006/relationships/hyperlink" Target="https://www.phe.gov/s3/dualuse/Documents/us-policy-durc-032812.pdf" TargetMode="External"/><Relationship Id="rId7" Type="http://schemas.openxmlformats.org/officeDocument/2006/relationships/hyperlink" Target="https://www.whitehouse.gov/wp-content/uploads/2024/05/USG-Policy-for-Oversight-of-DURC-and-PEPP.pdf" TargetMode="External"/><Relationship Id="rId2" Type="http://schemas.openxmlformats.org/officeDocument/2006/relationships/hyperlink" Target="https://www.whitehouse.gov/wp-content/uploads/2024/05/USG-DURC-PEPP-Implementation-Guidance.pdf" TargetMode="External"/><Relationship Id="rId1" Type="http://schemas.openxmlformats.org/officeDocument/2006/relationships/hyperlink" Target="https://www.whitehouse.gov/wp-content/uploads/2024/05/USG-Policy-for-Oversight-of-DURC-and-PEPP.pdf" TargetMode="External"/><Relationship Id="rId6" Type="http://schemas.openxmlformats.org/officeDocument/2006/relationships/hyperlink" Target="https://www.whitehouse.gov/wp-content/uploads/2024/05/USG-Policy-for-Oversight-of-DURC-and-PEPP.pdf" TargetMode="External"/><Relationship Id="rId5" Type="http://schemas.openxmlformats.org/officeDocument/2006/relationships/hyperlink" Target="https://obamawhitehouse.archives.gov/sites/default/files/microsites/ostp/p3co-finalguidancestatement.pdf" TargetMode="External"/><Relationship Id="rId10" Type="http://schemas.openxmlformats.org/officeDocument/2006/relationships/hyperlink" Target="https://www.whitehouse.gov/wp-content/uploads/2024/05/USG-Policy-for-Oversight-of-DURC-and-PEPP.pdf" TargetMode="External"/><Relationship Id="rId4" Type="http://schemas.openxmlformats.org/officeDocument/2006/relationships/hyperlink" Target="https://www.phe.gov/s3/dualuse/documents/durc-policy.pdf" TargetMode="External"/><Relationship Id="rId9" Type="http://schemas.openxmlformats.org/officeDocument/2006/relationships/hyperlink" Target="https://www.whitehouse.gov/wp-content/uploads/2024/05/USG-Policy-for-Oversight-of-DURC-and-PEPP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7BA4F-B451-4BE5-A99F-BEE68B2B8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1651</Words>
  <Characters>9415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Dual Use Research of Concern</vt:lpstr>
    </vt:vector>
  </TitlesOfParts>
  <Company>UCOP</Company>
  <LinksUpToDate>false</LinksUpToDate>
  <CharactersWithSpaces>11044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Dual Use Research of Concern</dc:title>
  <dc:creator>Windows User</dc:creator>
  <cp:lastModifiedBy>Barry Rowan</cp:lastModifiedBy>
  <cp:revision>2</cp:revision>
  <dcterms:created xsi:type="dcterms:W3CDTF">2025-02-10T17:31:00Z</dcterms:created>
  <dcterms:modified xsi:type="dcterms:W3CDTF">2025-02-10T17:31:00Z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0x010100D651C6196FD4E047B3EF4ABEC635B5D000745236BBD940C345A4B8BCC3175EC882</vt:lpwstr>
  </property>
  <property fmtid="{D5CDD505-2E9C-101B-9397-08002B2CF9AE}" pid="3" name="Created">
    <vt:filetime>2017-09-06T00:00:00Z</vt:filetime>
  </property>
  <property fmtid="{D5CDD505-2E9C-101B-9397-08002B2CF9AE}" pid="4" name="Creator">
    <vt:lpwstr>Acrobat PDFMaker 11 for Word</vt:lpwstr>
  </property>
  <property fmtid="{D5CDD505-2E9C-101B-9397-08002B2CF9AE}" pid="5" name="Discard?">
    <vt:lpwstr>0</vt:lpwstr>
  </property>
  <property fmtid="{D5CDD505-2E9C-101B-9397-08002B2CF9AE}" pid="6" name="LastSaved">
    <vt:filetime>2024-05-06T00:00:00Z</vt:filetime>
  </property>
  <property fmtid="{D5CDD505-2E9C-101B-9397-08002B2CF9AE}" pid="7" name="Producer">
    <vt:lpwstr>Adobe PDF Library 11.0</vt:lpwstr>
  </property>
  <property fmtid="{D5CDD505-2E9C-101B-9397-08002B2CF9AE}" pid="8" name="SourceModified">
    <vt:lpwstr>D:20170906183354</vt:lpwstr>
  </property>
  <property fmtid="{D5CDD505-2E9C-101B-9397-08002B2CF9AE}" pid="9" name="Status">
    <vt:lpwstr>Not started</vt:lpwstr>
  </property>
  <property fmtid="{D5CDD505-2E9C-101B-9397-08002B2CF9AE}" pid="10" name="TemplateUrl">
    <vt:lpwstr/>
  </property>
  <property fmtid="{D5CDD505-2E9C-101B-9397-08002B2CF9AE}" pid="11" name="_SourceUrl">
    <vt:lpwstr/>
  </property>
  <property fmtid="{D5CDD505-2E9C-101B-9397-08002B2CF9AE}" pid="12" name="xd_ProgID">
    <vt:lpwstr/>
  </property>
  <property fmtid="{D5CDD505-2E9C-101B-9397-08002B2CF9AE}" pid="13" name="xd_Signature">
    <vt:lpwstr>0</vt:lpwstr>
  </property>
</Properties>
</file>