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F8FB" w14:textId="77777777" w:rsidR="00B94DA3" w:rsidRPr="00A81D54" w:rsidRDefault="00B94DA3" w:rsidP="00A81D54">
      <w:pPr>
        <w:pStyle w:val="Heading1"/>
        <w:rPr>
          <w:rFonts w:ascii="Arial" w:hAnsi="Arial" w:cs="Arial"/>
          <w:b/>
          <w:bCs/>
        </w:rPr>
      </w:pPr>
      <w:r w:rsidRPr="00A81D54">
        <w:rPr>
          <w:rFonts w:ascii="Arial" w:hAnsi="Arial" w:cs="Arial"/>
          <w:b/>
          <w:bCs/>
        </w:rPr>
        <w:t>International Shipping Export Controls for China, Russia and Venezuela</w:t>
      </w:r>
    </w:p>
    <w:p w14:paraId="4ADA8BCD" w14:textId="77777777" w:rsidR="00B94DA3" w:rsidRPr="00B94DA3" w:rsidRDefault="00B94DA3" w:rsidP="00B94DA3">
      <w:pPr>
        <w:rPr>
          <w:rFonts w:ascii="Arial" w:hAnsi="Arial" w:cs="Arial"/>
          <w:b/>
        </w:rPr>
      </w:pPr>
    </w:p>
    <w:p w14:paraId="3D32106A" w14:textId="77777777" w:rsidR="00B94DA3" w:rsidRPr="00B94DA3" w:rsidRDefault="00B94DA3" w:rsidP="00B94DA3">
      <w:pPr>
        <w:rPr>
          <w:rFonts w:ascii="Arial" w:hAnsi="Arial" w:cs="Arial"/>
        </w:rPr>
      </w:pPr>
      <w:r w:rsidRPr="00B94DA3">
        <w:rPr>
          <w:rFonts w:ascii="Arial" w:hAnsi="Arial" w:cs="Arial"/>
        </w:rPr>
        <w:t xml:space="preserve">The U.S. government has implemented expanded export license and export filing requirements for certain </w:t>
      </w:r>
      <w:hyperlink r:id="rId5" w:history="1">
        <w:r w:rsidRPr="00B94DA3">
          <w:rPr>
            <w:rStyle w:val="Hyperlink"/>
            <w:rFonts w:ascii="Arial" w:hAnsi="Arial" w:cs="Arial"/>
          </w:rPr>
          <w:t>exports to China, Russia, and Venezuela</w:t>
        </w:r>
      </w:hyperlink>
      <w:r w:rsidRPr="00B94DA3">
        <w:rPr>
          <w:rFonts w:ascii="Arial" w:hAnsi="Arial" w:cs="Arial"/>
        </w:rPr>
        <w:t xml:space="preserve">. </w:t>
      </w:r>
      <w:r w:rsidRPr="00B94DA3">
        <w:rPr>
          <w:rFonts w:ascii="Arial" w:hAnsi="Arial" w:cs="Arial"/>
          <w:b/>
        </w:rPr>
        <w:t xml:space="preserve">You must notify the Export Control Officer prior to shipping </w:t>
      </w:r>
      <w:r w:rsidRPr="00B94DA3">
        <w:rPr>
          <w:rFonts w:ascii="Arial" w:hAnsi="Arial" w:cs="Arial"/>
        </w:rPr>
        <w:t>anything, other than routine business documents (visa paperwork, books, published manuscripts, etc.), to these countries.</w:t>
      </w:r>
    </w:p>
    <w:p w14:paraId="44AC7D49" w14:textId="77777777" w:rsidR="00B94DA3" w:rsidRPr="00B94DA3" w:rsidRDefault="00B94DA3" w:rsidP="00B94DA3">
      <w:pPr>
        <w:rPr>
          <w:rFonts w:ascii="Arial" w:hAnsi="Arial" w:cs="Arial"/>
        </w:rPr>
      </w:pPr>
    </w:p>
    <w:p w14:paraId="284F3E00" w14:textId="77777777" w:rsidR="00B94DA3" w:rsidRPr="00B94DA3" w:rsidRDefault="00B94DA3" w:rsidP="00B94DA3">
      <w:pPr>
        <w:rPr>
          <w:rFonts w:ascii="Arial" w:hAnsi="Arial" w:cs="Arial"/>
          <w:b/>
          <w:bCs/>
        </w:rPr>
      </w:pPr>
      <w:r w:rsidRPr="00B94DA3">
        <w:rPr>
          <w:rFonts w:ascii="Arial" w:hAnsi="Arial" w:cs="Arial"/>
          <w:b/>
          <w:bCs/>
        </w:rPr>
        <w:t>Pre-shipment notification to the U.S. government</w:t>
      </w:r>
    </w:p>
    <w:p w14:paraId="030A4FBC" w14:textId="77777777" w:rsidR="00B94DA3" w:rsidRPr="00B94DA3" w:rsidRDefault="00B94DA3" w:rsidP="00B94DA3">
      <w:pPr>
        <w:rPr>
          <w:rFonts w:ascii="Arial" w:hAnsi="Arial" w:cs="Arial"/>
        </w:rPr>
      </w:pPr>
      <w:r w:rsidRPr="00B94DA3">
        <w:rPr>
          <w:rFonts w:ascii="Arial" w:hAnsi="Arial" w:cs="Arial"/>
        </w:rPr>
        <w:t>Some consumer electronics and research related equipment that are being physically exported or hand- carried to China, Russia and Venezuela will now require an export filing in the Census Bureau’s Automated Export System (AES), regardless of the shipment’s value or whether an export license is required. The AES filing only applies to hand-carried items if it is being exported to another entity/individual. "Tools of the trade" (computers, phones, etc.) that will return to the U.S. with the traveler don't generally need to be reported. If an AES filing is needed, it must be made by the Export Control Officer or via American Cargo Services, (for a fee). FedEx, UPS, and other shippers will not fulfill this filing requirement. Many common consumer products are listed on the Commerce Control List and include laptops, tablets, cell phones, cameras, etc.</w:t>
      </w:r>
    </w:p>
    <w:p w14:paraId="3DA18895" w14:textId="77777777" w:rsidR="00B94DA3" w:rsidRPr="00B94DA3" w:rsidRDefault="00B94DA3" w:rsidP="00B94DA3">
      <w:pPr>
        <w:rPr>
          <w:rFonts w:ascii="Arial" w:hAnsi="Arial" w:cs="Arial"/>
        </w:rPr>
      </w:pPr>
    </w:p>
    <w:p w14:paraId="79019930" w14:textId="5857B03F" w:rsidR="00B94DA3" w:rsidRPr="00B94DA3" w:rsidRDefault="00B94DA3" w:rsidP="00B94DA3">
      <w:pPr>
        <w:rPr>
          <w:rFonts w:ascii="Arial" w:hAnsi="Arial" w:cs="Arial"/>
        </w:rPr>
      </w:pPr>
      <w:r w:rsidRPr="00B94DA3">
        <w:rPr>
          <w:rFonts w:ascii="Arial" w:hAnsi="Arial" w:cs="Arial"/>
        </w:rPr>
        <w:t xml:space="preserve">Monica Woltmon, the campus Export Control Officer </w:t>
      </w:r>
      <w:r w:rsidR="00A81D54">
        <w:rPr>
          <w:rFonts w:ascii="Arial" w:hAnsi="Arial" w:cs="Arial"/>
        </w:rPr>
        <w:t>(</w:t>
      </w:r>
      <w:hyperlink r:id="rId6" w:history="1">
        <w:r w:rsidR="00A81D54" w:rsidRPr="004043F7">
          <w:rPr>
            <w:rStyle w:val="Hyperlink"/>
            <w:rFonts w:ascii="Arial" w:hAnsi="Arial" w:cs="Arial"/>
          </w:rPr>
          <w:t>exportcontrol@research.ucsb.edu</w:t>
        </w:r>
      </w:hyperlink>
      <w:r w:rsidR="00A81D54">
        <w:t>)</w:t>
      </w:r>
      <w:r w:rsidR="001F0AF2">
        <w:rPr>
          <w:rFonts w:ascii="Arial" w:hAnsi="Arial" w:cs="Arial"/>
        </w:rPr>
        <w:t>,</w:t>
      </w:r>
      <w:r w:rsidR="001F0AF2" w:rsidRPr="00B94DA3">
        <w:rPr>
          <w:rFonts w:ascii="Arial" w:hAnsi="Arial" w:cs="Arial"/>
        </w:rPr>
        <w:t xml:space="preserve"> </w:t>
      </w:r>
      <w:r w:rsidRPr="00B94DA3">
        <w:rPr>
          <w:rFonts w:ascii="Arial" w:hAnsi="Arial" w:cs="Arial"/>
        </w:rPr>
        <w:t>can assist you with an export filing determination and will also determine whether a license/license exception is required/available.</w:t>
      </w:r>
    </w:p>
    <w:p w14:paraId="4D5ECE35" w14:textId="77777777" w:rsidR="00B94DA3" w:rsidRPr="00B94DA3" w:rsidRDefault="00B94DA3" w:rsidP="00B94DA3">
      <w:pPr>
        <w:rPr>
          <w:rFonts w:ascii="Arial" w:hAnsi="Arial" w:cs="Arial"/>
        </w:rPr>
      </w:pPr>
    </w:p>
    <w:p w14:paraId="4919A630" w14:textId="77777777" w:rsidR="00B94DA3" w:rsidRPr="00B94DA3" w:rsidRDefault="00B94DA3" w:rsidP="00B94DA3">
      <w:pPr>
        <w:rPr>
          <w:rFonts w:ascii="Arial" w:hAnsi="Arial" w:cs="Arial"/>
          <w:b/>
          <w:bCs/>
        </w:rPr>
      </w:pPr>
      <w:r w:rsidRPr="00B94DA3">
        <w:rPr>
          <w:rFonts w:ascii="Arial" w:hAnsi="Arial" w:cs="Arial"/>
          <w:b/>
          <w:bCs/>
        </w:rPr>
        <w:t>Expanded export license requirements</w:t>
      </w:r>
    </w:p>
    <w:p w14:paraId="78095E98" w14:textId="77777777" w:rsidR="00B94DA3" w:rsidRPr="00B94DA3" w:rsidRDefault="00B94DA3" w:rsidP="00B94DA3">
      <w:pPr>
        <w:rPr>
          <w:rFonts w:ascii="Arial" w:hAnsi="Arial" w:cs="Arial"/>
        </w:rPr>
      </w:pPr>
      <w:r w:rsidRPr="00B94DA3">
        <w:rPr>
          <w:rFonts w:ascii="Arial" w:hAnsi="Arial" w:cs="Arial"/>
        </w:rPr>
        <w:t>Some items, information (see below for exclusions) and software that fall into the broad categories below may now require an export license for these three countries. Your Export Control Officer can assist you with a determination as to whether an export license is required from the federal government.</w:t>
      </w:r>
    </w:p>
    <w:p w14:paraId="1A7EE149" w14:textId="77777777" w:rsidR="00B94DA3" w:rsidRPr="00B94DA3" w:rsidRDefault="00B94DA3" w:rsidP="00B94DA3">
      <w:pPr>
        <w:rPr>
          <w:rFonts w:ascii="Arial" w:hAnsi="Arial" w:cs="Arial"/>
        </w:rPr>
      </w:pPr>
    </w:p>
    <w:p w14:paraId="10956EEF" w14:textId="77777777" w:rsidR="00B94DA3" w:rsidRPr="00B94DA3" w:rsidRDefault="00B94DA3" w:rsidP="00B94DA3">
      <w:pPr>
        <w:numPr>
          <w:ilvl w:val="0"/>
          <w:numId w:val="1"/>
        </w:numPr>
        <w:rPr>
          <w:rFonts w:ascii="Arial" w:hAnsi="Arial" w:cs="Arial"/>
        </w:rPr>
      </w:pPr>
      <w:r w:rsidRPr="00B94DA3">
        <w:rPr>
          <w:rFonts w:ascii="Arial" w:hAnsi="Arial" w:cs="Arial"/>
        </w:rPr>
        <w:t>Materials, Chemicals, Microorganisms, and Toxins</w:t>
      </w:r>
    </w:p>
    <w:p w14:paraId="4FCD9041" w14:textId="77777777" w:rsidR="00B94DA3" w:rsidRPr="00B94DA3" w:rsidRDefault="00B94DA3" w:rsidP="00B94DA3">
      <w:pPr>
        <w:numPr>
          <w:ilvl w:val="0"/>
          <w:numId w:val="1"/>
        </w:numPr>
        <w:rPr>
          <w:rFonts w:ascii="Arial" w:hAnsi="Arial" w:cs="Arial"/>
        </w:rPr>
      </w:pPr>
      <w:r w:rsidRPr="00B94DA3">
        <w:rPr>
          <w:rFonts w:ascii="Arial" w:hAnsi="Arial" w:cs="Arial"/>
        </w:rPr>
        <w:t>Materials Processing</w:t>
      </w:r>
    </w:p>
    <w:p w14:paraId="1C23E7C1" w14:textId="77777777" w:rsidR="00B94DA3" w:rsidRPr="00B94DA3" w:rsidRDefault="00B94DA3" w:rsidP="00B94DA3">
      <w:pPr>
        <w:numPr>
          <w:ilvl w:val="0"/>
          <w:numId w:val="1"/>
        </w:numPr>
        <w:rPr>
          <w:rFonts w:ascii="Arial" w:hAnsi="Arial" w:cs="Arial"/>
        </w:rPr>
      </w:pPr>
      <w:r w:rsidRPr="00B94DA3">
        <w:rPr>
          <w:rFonts w:ascii="Arial" w:hAnsi="Arial" w:cs="Arial"/>
        </w:rPr>
        <w:t>Electronics Design, Development and Production</w:t>
      </w:r>
    </w:p>
    <w:p w14:paraId="287E9E4C" w14:textId="77777777" w:rsidR="00B94DA3" w:rsidRPr="00B94DA3" w:rsidRDefault="00B94DA3" w:rsidP="00B94DA3">
      <w:pPr>
        <w:numPr>
          <w:ilvl w:val="0"/>
          <w:numId w:val="1"/>
        </w:numPr>
        <w:rPr>
          <w:rFonts w:ascii="Arial" w:hAnsi="Arial" w:cs="Arial"/>
        </w:rPr>
      </w:pPr>
      <w:r w:rsidRPr="00B94DA3">
        <w:rPr>
          <w:rFonts w:ascii="Arial" w:hAnsi="Arial" w:cs="Arial"/>
        </w:rPr>
        <w:t>Computers</w:t>
      </w:r>
    </w:p>
    <w:p w14:paraId="1C8B9284" w14:textId="77777777" w:rsidR="00B94DA3" w:rsidRPr="00B94DA3" w:rsidRDefault="00B94DA3" w:rsidP="00B94DA3">
      <w:pPr>
        <w:numPr>
          <w:ilvl w:val="0"/>
          <w:numId w:val="1"/>
        </w:numPr>
        <w:rPr>
          <w:rFonts w:ascii="Arial" w:hAnsi="Arial" w:cs="Arial"/>
        </w:rPr>
      </w:pPr>
      <w:r w:rsidRPr="00B94DA3">
        <w:rPr>
          <w:rFonts w:ascii="Arial" w:hAnsi="Arial" w:cs="Arial"/>
        </w:rPr>
        <w:t>Telecommunications Information Security</w:t>
      </w:r>
    </w:p>
    <w:p w14:paraId="3180A1AE" w14:textId="77777777" w:rsidR="00B94DA3" w:rsidRPr="00B94DA3" w:rsidRDefault="00B94DA3" w:rsidP="00B94DA3">
      <w:pPr>
        <w:numPr>
          <w:ilvl w:val="0"/>
          <w:numId w:val="1"/>
        </w:numPr>
        <w:rPr>
          <w:rFonts w:ascii="Arial" w:hAnsi="Arial" w:cs="Arial"/>
        </w:rPr>
      </w:pPr>
      <w:r w:rsidRPr="00B94DA3">
        <w:rPr>
          <w:rFonts w:ascii="Arial" w:hAnsi="Arial" w:cs="Arial"/>
        </w:rPr>
        <w:t>Sensors and Lasers</w:t>
      </w:r>
    </w:p>
    <w:p w14:paraId="2EC74DE1" w14:textId="77777777" w:rsidR="00B94DA3" w:rsidRPr="00B94DA3" w:rsidRDefault="00B94DA3" w:rsidP="00B94DA3">
      <w:pPr>
        <w:numPr>
          <w:ilvl w:val="0"/>
          <w:numId w:val="1"/>
        </w:numPr>
        <w:rPr>
          <w:rFonts w:ascii="Arial" w:hAnsi="Arial" w:cs="Arial"/>
        </w:rPr>
      </w:pPr>
      <w:r w:rsidRPr="00B94DA3">
        <w:rPr>
          <w:rFonts w:ascii="Arial" w:hAnsi="Arial" w:cs="Arial"/>
        </w:rPr>
        <w:t>Navigation and Avionics</w:t>
      </w:r>
    </w:p>
    <w:p w14:paraId="2F037706" w14:textId="77777777" w:rsidR="00B94DA3" w:rsidRPr="00B94DA3" w:rsidRDefault="00B94DA3" w:rsidP="00B94DA3">
      <w:pPr>
        <w:numPr>
          <w:ilvl w:val="0"/>
          <w:numId w:val="1"/>
        </w:numPr>
        <w:rPr>
          <w:rFonts w:ascii="Arial" w:hAnsi="Arial" w:cs="Arial"/>
        </w:rPr>
      </w:pPr>
      <w:r w:rsidRPr="00B94DA3">
        <w:rPr>
          <w:rFonts w:ascii="Arial" w:hAnsi="Arial" w:cs="Arial"/>
        </w:rPr>
        <w:t>Marine</w:t>
      </w:r>
    </w:p>
    <w:p w14:paraId="32F9E331" w14:textId="77777777" w:rsidR="00B94DA3" w:rsidRPr="00B94DA3" w:rsidRDefault="00B94DA3" w:rsidP="00B94DA3">
      <w:pPr>
        <w:numPr>
          <w:ilvl w:val="0"/>
          <w:numId w:val="1"/>
        </w:numPr>
        <w:rPr>
          <w:rFonts w:ascii="Arial" w:hAnsi="Arial" w:cs="Arial"/>
        </w:rPr>
      </w:pPr>
      <w:r w:rsidRPr="00B94DA3">
        <w:rPr>
          <w:rFonts w:ascii="Arial" w:hAnsi="Arial" w:cs="Arial"/>
        </w:rPr>
        <w:t>Propulsion Systems, Space Vehicles and Related Equipment</w:t>
      </w:r>
    </w:p>
    <w:p w14:paraId="378DA99D" w14:textId="77777777" w:rsidR="00B94DA3" w:rsidRPr="00B94DA3" w:rsidRDefault="00B94DA3" w:rsidP="00B94DA3">
      <w:pPr>
        <w:rPr>
          <w:rFonts w:ascii="Arial" w:hAnsi="Arial" w:cs="Arial"/>
        </w:rPr>
      </w:pPr>
    </w:p>
    <w:p w14:paraId="50B0CB91" w14:textId="77777777" w:rsidR="00B94DA3" w:rsidRPr="00B94DA3" w:rsidRDefault="00B94DA3" w:rsidP="00B94DA3">
      <w:pPr>
        <w:rPr>
          <w:rFonts w:ascii="Arial" w:hAnsi="Arial" w:cs="Arial"/>
        </w:rPr>
      </w:pPr>
      <w:r w:rsidRPr="00B94DA3">
        <w:rPr>
          <w:rFonts w:ascii="Arial" w:hAnsi="Arial" w:cs="Arial"/>
        </w:rPr>
        <w:t xml:space="preserve">Please be aware that export licenses can take </w:t>
      </w:r>
      <w:r w:rsidRPr="00B94DA3">
        <w:rPr>
          <w:rFonts w:ascii="Arial" w:hAnsi="Arial" w:cs="Arial"/>
          <w:b/>
        </w:rPr>
        <w:t xml:space="preserve">2 months or longer </w:t>
      </w:r>
      <w:r w:rsidRPr="00B94DA3">
        <w:rPr>
          <w:rFonts w:ascii="Arial" w:hAnsi="Arial" w:cs="Arial"/>
        </w:rPr>
        <w:t>to obtain from the federal government and the government may deny your request. Contact the Export Control Officer early for assistance to avoid delays.</w:t>
      </w:r>
    </w:p>
    <w:p w14:paraId="297E6A38" w14:textId="77777777" w:rsidR="00B94DA3" w:rsidRPr="00B94DA3" w:rsidRDefault="00B94DA3" w:rsidP="00B94DA3">
      <w:pPr>
        <w:rPr>
          <w:rFonts w:ascii="Arial" w:hAnsi="Arial" w:cs="Arial"/>
        </w:rPr>
      </w:pPr>
    </w:p>
    <w:p w14:paraId="71BDB970" w14:textId="77777777" w:rsidR="00B94DA3" w:rsidRPr="00B94DA3" w:rsidRDefault="00B94DA3" w:rsidP="00B94DA3">
      <w:pPr>
        <w:rPr>
          <w:rFonts w:ascii="Arial" w:hAnsi="Arial" w:cs="Arial"/>
        </w:rPr>
      </w:pPr>
      <w:r w:rsidRPr="00B94DA3">
        <w:rPr>
          <w:rFonts w:ascii="Arial" w:hAnsi="Arial" w:cs="Arial"/>
        </w:rPr>
        <w:t xml:space="preserve">For more information on the legal and administrative requirements for international shipping, please see the </w:t>
      </w:r>
      <w:hyperlink r:id="rId7">
        <w:r>
          <w:rPr>
            <w:rStyle w:val="Hyperlink"/>
            <w:rFonts w:ascii="Arial" w:hAnsi="Arial" w:cs="Arial"/>
          </w:rPr>
          <w:t>UCOP website on International Shipping</w:t>
        </w:r>
      </w:hyperlink>
      <w:r>
        <w:rPr>
          <w:rFonts w:ascii="Arial" w:hAnsi="Arial" w:cs="Arial"/>
        </w:rPr>
        <w:t>.</w:t>
      </w:r>
    </w:p>
    <w:p w14:paraId="167FE863" w14:textId="77777777" w:rsidR="00B94DA3" w:rsidRPr="00B94DA3" w:rsidRDefault="00B94DA3" w:rsidP="00B94DA3">
      <w:pPr>
        <w:rPr>
          <w:rFonts w:ascii="Arial" w:hAnsi="Arial" w:cs="Arial"/>
        </w:rPr>
        <w:sectPr w:rsidR="00B94DA3" w:rsidRPr="00B94DA3" w:rsidSect="00B94DA3">
          <w:pgSz w:w="12240" w:h="15840"/>
          <w:pgMar w:top="1400" w:right="1420" w:bottom="280" w:left="1340" w:header="720" w:footer="720" w:gutter="0"/>
          <w:cols w:space="720"/>
        </w:sectPr>
      </w:pPr>
    </w:p>
    <w:p w14:paraId="4402EA9E" w14:textId="77777777" w:rsidR="00B94DA3" w:rsidRPr="00B94DA3" w:rsidRDefault="00B94DA3" w:rsidP="00B94DA3">
      <w:pPr>
        <w:rPr>
          <w:rFonts w:ascii="Arial" w:hAnsi="Arial" w:cs="Arial"/>
        </w:rPr>
      </w:pPr>
    </w:p>
    <w:p w14:paraId="3EEF8245" w14:textId="77777777" w:rsidR="00B94DA3" w:rsidRPr="00B94DA3" w:rsidRDefault="00B94DA3" w:rsidP="00B94DA3">
      <w:pPr>
        <w:rPr>
          <w:rFonts w:ascii="Arial" w:hAnsi="Arial" w:cs="Arial"/>
          <w:b/>
          <w:bCs/>
        </w:rPr>
      </w:pPr>
      <w:r w:rsidRPr="00B94DA3">
        <w:rPr>
          <w:rFonts w:ascii="Arial" w:hAnsi="Arial" w:cs="Arial"/>
          <w:b/>
          <w:bCs/>
        </w:rPr>
        <w:t>Exclusions for Information</w:t>
      </w:r>
    </w:p>
    <w:p w14:paraId="056566DD" w14:textId="77777777" w:rsidR="00B94DA3" w:rsidRPr="00B94DA3" w:rsidRDefault="00B94DA3" w:rsidP="00B94DA3">
      <w:pPr>
        <w:rPr>
          <w:rFonts w:ascii="Arial" w:hAnsi="Arial" w:cs="Arial"/>
        </w:rPr>
      </w:pPr>
      <w:r w:rsidRPr="00B94DA3">
        <w:rPr>
          <w:rFonts w:ascii="Arial" w:hAnsi="Arial" w:cs="Arial"/>
        </w:rPr>
        <w:t>Technology that qualifies as publicly available in one of these three ways, does not require an export license. Technology is defined as technical information beyond general and basic marketing materials about a controlled commodity.</w:t>
      </w:r>
    </w:p>
    <w:p w14:paraId="1E27DEF0" w14:textId="77777777" w:rsidR="00B94DA3" w:rsidRPr="00B94DA3" w:rsidRDefault="00B94DA3" w:rsidP="00B94DA3">
      <w:pPr>
        <w:numPr>
          <w:ilvl w:val="0"/>
          <w:numId w:val="1"/>
        </w:numPr>
        <w:rPr>
          <w:rFonts w:ascii="Arial" w:hAnsi="Arial" w:cs="Arial"/>
        </w:rPr>
      </w:pPr>
      <w:r w:rsidRPr="00B94DA3">
        <w:rPr>
          <w:rFonts w:ascii="Arial" w:hAnsi="Arial" w:cs="Arial"/>
        </w:rPr>
        <w:t>Information that arises through fundamental research where the information is ordinarily published is considered publicly available, and;</w:t>
      </w:r>
    </w:p>
    <w:p w14:paraId="7AA06EEE" w14:textId="77777777" w:rsidR="00B94DA3" w:rsidRPr="00B94DA3" w:rsidRDefault="00B94DA3" w:rsidP="00B94DA3">
      <w:pPr>
        <w:numPr>
          <w:ilvl w:val="0"/>
          <w:numId w:val="1"/>
        </w:numPr>
        <w:rPr>
          <w:rFonts w:ascii="Arial" w:hAnsi="Arial" w:cs="Arial"/>
        </w:rPr>
      </w:pPr>
      <w:r w:rsidRPr="00B94DA3">
        <w:rPr>
          <w:rFonts w:ascii="Arial" w:hAnsi="Arial" w:cs="Arial"/>
        </w:rPr>
        <w:t>Information contained in a patent or published patent application, and;</w:t>
      </w:r>
    </w:p>
    <w:p w14:paraId="77CCA72E" w14:textId="77777777" w:rsidR="00B94DA3" w:rsidRDefault="00B94DA3" w:rsidP="00B94DA3">
      <w:pPr>
        <w:numPr>
          <w:ilvl w:val="0"/>
          <w:numId w:val="1"/>
        </w:numPr>
        <w:rPr>
          <w:rFonts w:ascii="Arial" w:hAnsi="Arial" w:cs="Arial"/>
        </w:rPr>
      </w:pPr>
      <w:r w:rsidRPr="00B94DA3">
        <w:rPr>
          <w:rFonts w:ascii="Arial" w:hAnsi="Arial" w:cs="Arial"/>
        </w:rPr>
        <w:t xml:space="preserve">Information that is published and generally accessible or available to the public Please see </w:t>
      </w:r>
      <w:hyperlink r:id="rId8">
        <w:r>
          <w:rPr>
            <w:rStyle w:val="Hyperlink"/>
            <w:rFonts w:ascii="Arial" w:hAnsi="Arial" w:cs="Arial"/>
          </w:rPr>
          <w:t>UCOP’s Frequently Asked Questions about Export Controls</w:t>
        </w:r>
      </w:hyperlink>
      <w:r w:rsidRPr="00B94DA3">
        <w:rPr>
          <w:rFonts w:ascii="Arial" w:hAnsi="Arial" w:cs="Arial"/>
        </w:rPr>
        <w:t xml:space="preserve"> for more details.</w:t>
      </w:r>
    </w:p>
    <w:p w14:paraId="3BAAC0ED" w14:textId="77777777" w:rsidR="00A81D54" w:rsidRPr="00B94DA3" w:rsidRDefault="00A81D54" w:rsidP="00A81D54">
      <w:pPr>
        <w:rPr>
          <w:rFonts w:ascii="Arial" w:hAnsi="Arial" w:cs="Arial"/>
        </w:rPr>
      </w:pPr>
    </w:p>
    <w:p w14:paraId="0136802F" w14:textId="77777777" w:rsidR="00B94DA3" w:rsidRPr="00B94DA3" w:rsidRDefault="00B94DA3" w:rsidP="00B94DA3">
      <w:pPr>
        <w:rPr>
          <w:rFonts w:ascii="Arial" w:hAnsi="Arial" w:cs="Arial"/>
        </w:rPr>
      </w:pPr>
      <w:r w:rsidRPr="00B94DA3">
        <w:rPr>
          <w:rFonts w:ascii="Arial" w:hAnsi="Arial" w:cs="Arial"/>
        </w:rPr>
        <w:t>Thank you,</w:t>
      </w:r>
    </w:p>
    <w:p w14:paraId="22E030EA" w14:textId="77777777" w:rsidR="00B94DA3" w:rsidRPr="00B94DA3" w:rsidRDefault="00B94DA3" w:rsidP="00B94DA3">
      <w:pPr>
        <w:rPr>
          <w:rFonts w:ascii="Arial" w:hAnsi="Arial" w:cs="Arial"/>
        </w:rPr>
      </w:pPr>
    </w:p>
    <w:p w14:paraId="0DC15070" w14:textId="77777777" w:rsidR="00B94DA3" w:rsidRPr="00B94DA3" w:rsidRDefault="00B94DA3" w:rsidP="00B94DA3">
      <w:pPr>
        <w:rPr>
          <w:rFonts w:ascii="Arial" w:hAnsi="Arial" w:cs="Arial"/>
          <w:b/>
          <w:bCs/>
        </w:rPr>
      </w:pPr>
      <w:r w:rsidRPr="00B94DA3">
        <w:rPr>
          <w:rFonts w:ascii="Arial" w:hAnsi="Arial" w:cs="Arial"/>
          <w:b/>
          <w:bCs/>
        </w:rPr>
        <w:t xml:space="preserve">Monica </w:t>
      </w:r>
      <w:proofErr w:type="spellStart"/>
      <w:r w:rsidRPr="00B94DA3">
        <w:rPr>
          <w:rFonts w:ascii="Arial" w:hAnsi="Arial" w:cs="Arial"/>
          <w:b/>
          <w:bCs/>
        </w:rPr>
        <w:t>Woltmon</w:t>
      </w:r>
      <w:proofErr w:type="spellEnd"/>
    </w:p>
    <w:p w14:paraId="4C3785FB" w14:textId="77777777" w:rsidR="00B94DA3" w:rsidRPr="00B94DA3" w:rsidRDefault="00B94DA3" w:rsidP="00B94DA3">
      <w:pPr>
        <w:rPr>
          <w:rFonts w:ascii="Arial" w:hAnsi="Arial" w:cs="Arial"/>
        </w:rPr>
      </w:pPr>
      <w:r w:rsidRPr="00B94DA3">
        <w:rPr>
          <w:rFonts w:ascii="Arial" w:hAnsi="Arial" w:cs="Arial"/>
        </w:rPr>
        <w:t xml:space="preserve">Export Control Officer Office of Research Integrity </w:t>
      </w:r>
      <w:hyperlink r:id="rId9">
        <w:r w:rsidRPr="00B94DA3">
          <w:rPr>
            <w:rStyle w:val="Hyperlink"/>
            <w:rFonts w:ascii="Arial" w:hAnsi="Arial" w:cs="Arial"/>
          </w:rPr>
          <w:t>exportcontrol@research.ucsb.edu</w:t>
        </w:r>
      </w:hyperlink>
    </w:p>
    <w:p w14:paraId="091BD39A" w14:textId="77777777" w:rsidR="00C04ACE" w:rsidRPr="00B94DA3" w:rsidRDefault="00C04ACE">
      <w:pPr>
        <w:rPr>
          <w:rFonts w:ascii="Arial" w:hAnsi="Arial" w:cs="Arial"/>
        </w:rPr>
      </w:pPr>
    </w:p>
    <w:sectPr w:rsidR="00C04ACE" w:rsidRPr="00B94DA3">
      <w:pgSz w:w="12240" w:h="15840"/>
      <w:pgMar w:top="1820" w:right="14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0F5"/>
    <w:multiLevelType w:val="hybridMultilevel"/>
    <w:tmpl w:val="03CACFA6"/>
    <w:lvl w:ilvl="0" w:tplc="D1809D16">
      <w:numFmt w:val="bullet"/>
      <w:lvlText w:val="●"/>
      <w:lvlJc w:val="left"/>
      <w:pPr>
        <w:ind w:left="460" w:hanging="360"/>
      </w:pPr>
      <w:rPr>
        <w:rFonts w:ascii="Arial" w:eastAsia="Arial" w:hAnsi="Arial" w:cs="Arial" w:hint="default"/>
        <w:b w:val="0"/>
        <w:bCs w:val="0"/>
        <w:i w:val="0"/>
        <w:iCs w:val="0"/>
        <w:spacing w:val="0"/>
        <w:w w:val="100"/>
        <w:sz w:val="22"/>
        <w:szCs w:val="22"/>
        <w:lang w:val="en-US" w:eastAsia="en-US" w:bidi="ar-SA"/>
      </w:rPr>
    </w:lvl>
    <w:lvl w:ilvl="1" w:tplc="DAF8D542">
      <w:numFmt w:val="bullet"/>
      <w:lvlText w:val="•"/>
      <w:lvlJc w:val="left"/>
      <w:pPr>
        <w:ind w:left="1362" w:hanging="360"/>
      </w:pPr>
      <w:rPr>
        <w:rFonts w:hint="default"/>
        <w:lang w:val="en-US" w:eastAsia="en-US" w:bidi="ar-SA"/>
      </w:rPr>
    </w:lvl>
    <w:lvl w:ilvl="2" w:tplc="DD1E8B0A">
      <w:numFmt w:val="bullet"/>
      <w:lvlText w:val="•"/>
      <w:lvlJc w:val="left"/>
      <w:pPr>
        <w:ind w:left="2264" w:hanging="360"/>
      </w:pPr>
      <w:rPr>
        <w:rFonts w:hint="default"/>
        <w:lang w:val="en-US" w:eastAsia="en-US" w:bidi="ar-SA"/>
      </w:rPr>
    </w:lvl>
    <w:lvl w:ilvl="3" w:tplc="A20AD3AA">
      <w:numFmt w:val="bullet"/>
      <w:lvlText w:val="•"/>
      <w:lvlJc w:val="left"/>
      <w:pPr>
        <w:ind w:left="3166" w:hanging="360"/>
      </w:pPr>
      <w:rPr>
        <w:rFonts w:hint="default"/>
        <w:lang w:val="en-US" w:eastAsia="en-US" w:bidi="ar-SA"/>
      </w:rPr>
    </w:lvl>
    <w:lvl w:ilvl="4" w:tplc="9E861812">
      <w:numFmt w:val="bullet"/>
      <w:lvlText w:val="•"/>
      <w:lvlJc w:val="left"/>
      <w:pPr>
        <w:ind w:left="4068" w:hanging="360"/>
      </w:pPr>
      <w:rPr>
        <w:rFonts w:hint="default"/>
        <w:lang w:val="en-US" w:eastAsia="en-US" w:bidi="ar-SA"/>
      </w:rPr>
    </w:lvl>
    <w:lvl w:ilvl="5" w:tplc="D8F60532">
      <w:numFmt w:val="bullet"/>
      <w:lvlText w:val="•"/>
      <w:lvlJc w:val="left"/>
      <w:pPr>
        <w:ind w:left="4970" w:hanging="360"/>
      </w:pPr>
      <w:rPr>
        <w:rFonts w:hint="default"/>
        <w:lang w:val="en-US" w:eastAsia="en-US" w:bidi="ar-SA"/>
      </w:rPr>
    </w:lvl>
    <w:lvl w:ilvl="6" w:tplc="CC2A1CB2">
      <w:numFmt w:val="bullet"/>
      <w:lvlText w:val="•"/>
      <w:lvlJc w:val="left"/>
      <w:pPr>
        <w:ind w:left="5872" w:hanging="360"/>
      </w:pPr>
      <w:rPr>
        <w:rFonts w:hint="default"/>
        <w:lang w:val="en-US" w:eastAsia="en-US" w:bidi="ar-SA"/>
      </w:rPr>
    </w:lvl>
    <w:lvl w:ilvl="7" w:tplc="4F468398">
      <w:numFmt w:val="bullet"/>
      <w:lvlText w:val="•"/>
      <w:lvlJc w:val="left"/>
      <w:pPr>
        <w:ind w:left="6774" w:hanging="360"/>
      </w:pPr>
      <w:rPr>
        <w:rFonts w:hint="default"/>
        <w:lang w:val="en-US" w:eastAsia="en-US" w:bidi="ar-SA"/>
      </w:rPr>
    </w:lvl>
    <w:lvl w:ilvl="8" w:tplc="F75408BA">
      <w:numFmt w:val="bullet"/>
      <w:lvlText w:val="•"/>
      <w:lvlJc w:val="left"/>
      <w:pPr>
        <w:ind w:left="7676" w:hanging="360"/>
      </w:pPr>
      <w:rPr>
        <w:rFonts w:hint="default"/>
        <w:lang w:val="en-US" w:eastAsia="en-US" w:bidi="ar-SA"/>
      </w:rPr>
    </w:lvl>
  </w:abstractNum>
  <w:num w:numId="1" w16cid:durableId="5427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A3"/>
    <w:rsid w:val="00196174"/>
    <w:rsid w:val="001F0AF2"/>
    <w:rsid w:val="002D022B"/>
    <w:rsid w:val="006B1299"/>
    <w:rsid w:val="00A81D54"/>
    <w:rsid w:val="00B94DA3"/>
    <w:rsid w:val="00C04ACE"/>
    <w:rsid w:val="00F7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F52836"/>
  <w15:chartTrackingRefBased/>
  <w15:docId w15:val="{283BCC8E-318C-C440-9E69-AB471015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D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DA3"/>
    <w:rPr>
      <w:color w:val="0563C1" w:themeColor="hyperlink"/>
      <w:u w:val="single"/>
    </w:rPr>
  </w:style>
  <w:style w:type="character" w:styleId="UnresolvedMention">
    <w:name w:val="Unresolved Mention"/>
    <w:basedOn w:val="DefaultParagraphFont"/>
    <w:uiPriority w:val="99"/>
    <w:semiHidden/>
    <w:unhideWhenUsed/>
    <w:rsid w:val="00B94DA3"/>
    <w:rPr>
      <w:color w:val="605E5C"/>
      <w:shd w:val="clear" w:color="auto" w:fill="E1DFDD"/>
    </w:rPr>
  </w:style>
  <w:style w:type="character" w:styleId="FollowedHyperlink">
    <w:name w:val="FollowedHyperlink"/>
    <w:basedOn w:val="DefaultParagraphFont"/>
    <w:uiPriority w:val="99"/>
    <w:semiHidden/>
    <w:unhideWhenUsed/>
    <w:rsid w:val="00B94DA3"/>
    <w:rPr>
      <w:color w:val="954F72" w:themeColor="followedHyperlink"/>
      <w:u w:val="single"/>
    </w:rPr>
  </w:style>
  <w:style w:type="character" w:customStyle="1" w:styleId="Heading1Char">
    <w:name w:val="Heading 1 Char"/>
    <w:basedOn w:val="DefaultParagraphFont"/>
    <w:link w:val="Heading1"/>
    <w:uiPriority w:val="9"/>
    <w:rsid w:val="00A81D5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op.edu/ethics-compliance-audit-services/compliance/export-control/export-faq.html" TargetMode="External"/><Relationship Id="rId3" Type="http://schemas.openxmlformats.org/officeDocument/2006/relationships/settings" Target="settings.xml"/><Relationship Id="rId7" Type="http://schemas.openxmlformats.org/officeDocument/2006/relationships/hyperlink" Target="https://www.ucop.edu/ethics-compliance-audit-services/compliance/export-control/international-shippi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portcontrol@research.ucsb.edu" TargetMode="External"/><Relationship Id="rId11" Type="http://schemas.openxmlformats.org/officeDocument/2006/relationships/theme" Target="theme/theme1.xml"/><Relationship Id="rId5" Type="http://schemas.openxmlformats.org/officeDocument/2006/relationships/hyperlink" Target="https://www.federalregister.gov/documents/2020/04/28/2020-07241/expansion-of-export-reexport-and-transfer-in-country-controls-for-military-end-use-or-military-en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xportcontrol@research.uc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473</Words>
  <Characters>2806</Characters>
  <Application>Microsoft Office Word</Application>
  <DocSecurity>0</DocSecurity>
  <Lines>63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Shipping and Export Controls</dc:title>
  <dc:subject/>
  <dc:creator>Barry Rowan</dc:creator>
  <cp:keywords/>
  <dc:description/>
  <cp:lastModifiedBy>Barry Rowan</cp:lastModifiedBy>
  <cp:revision>4</cp:revision>
  <dcterms:created xsi:type="dcterms:W3CDTF">2025-01-10T15:37:00Z</dcterms:created>
  <dcterms:modified xsi:type="dcterms:W3CDTF">2026-04-21T21:57:00Z</dcterms:modified>
  <cp:category/>
</cp:coreProperties>
</file>